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011F9DF5" w:rsidR="006D2A87" w:rsidRPr="00BE017E" w:rsidRDefault="006D2A87" w:rsidP="006D2A87">
      <w:pPr>
        <w:pStyle w:val="3GPPHeader"/>
        <w:spacing w:after="60"/>
        <w:rPr>
          <w:sz w:val="32"/>
          <w:szCs w:val="32"/>
        </w:rPr>
      </w:pPr>
      <w:r w:rsidRPr="00AC3F43">
        <w:t xml:space="preserve">3GPP TSG-RAN WG1 Meeting </w:t>
      </w:r>
      <w:r w:rsidR="00413904" w:rsidRPr="00AC3F43">
        <w:t>#</w:t>
      </w:r>
      <w:r w:rsidR="00F941CB" w:rsidRPr="00BE017E">
        <w:t>9</w:t>
      </w:r>
      <w:r w:rsidR="00B214A6">
        <w:t>9</w:t>
      </w:r>
      <w:r w:rsidRPr="00BE017E">
        <w:tab/>
      </w:r>
      <w:r w:rsidRPr="00BE017E">
        <w:rPr>
          <w:sz w:val="32"/>
          <w:szCs w:val="32"/>
        </w:rPr>
        <w:t xml:space="preserve"> </w:t>
      </w:r>
      <w:r w:rsidR="00FC788F" w:rsidRPr="00FC788F">
        <w:rPr>
          <w:sz w:val="32"/>
          <w:szCs w:val="32"/>
        </w:rPr>
        <w:t>R1-1912710</w:t>
      </w:r>
      <w:r w:rsidR="00F202DA" w:rsidRPr="00FA615A" w:rsidDel="00F202DA">
        <w:rPr>
          <w:sz w:val="32"/>
          <w:szCs w:val="32"/>
          <w:highlight w:val="yellow"/>
        </w:rPr>
        <w:t xml:space="preserve"> </w:t>
      </w:r>
      <w:r w:rsidR="000F0D51" w:rsidRPr="00321409" w:rsidDel="000B64ED">
        <w:rPr>
          <w:sz w:val="32"/>
          <w:szCs w:val="32"/>
        </w:rPr>
        <w:t xml:space="preserve"> </w:t>
      </w:r>
    </w:p>
    <w:p w14:paraId="5060F329" w14:textId="4C008E3F" w:rsidR="006D2A87" w:rsidRPr="001C585A" w:rsidRDefault="00B214A6" w:rsidP="006D2A87">
      <w:pPr>
        <w:pStyle w:val="3GPPHeader"/>
      </w:pPr>
      <w:r>
        <w:t>Reno</w:t>
      </w:r>
      <w:r w:rsidR="00CB5824" w:rsidRPr="00BE017E">
        <w:t xml:space="preserve">, </w:t>
      </w:r>
      <w:r>
        <w:t>USA</w:t>
      </w:r>
      <w:r w:rsidR="00CB5824" w:rsidRPr="00BE017E">
        <w:t xml:space="preserve">, </w:t>
      </w:r>
      <w:r>
        <w:t>November</w:t>
      </w:r>
      <w:r w:rsidR="00CE3A34" w:rsidRPr="00BE017E">
        <w:t xml:space="preserve"> </w:t>
      </w:r>
      <w:r w:rsidR="00E9645D">
        <w:t>1</w:t>
      </w:r>
      <w:r>
        <w:t>8</w:t>
      </w:r>
      <w:r w:rsidR="00CE3A34" w:rsidRPr="00BE017E">
        <w:rPr>
          <w:vertAlign w:val="superscript"/>
        </w:rPr>
        <w:t>th</w:t>
      </w:r>
      <w:r w:rsidR="00CE3A34" w:rsidRPr="00BE017E">
        <w:t xml:space="preserve"> </w:t>
      </w:r>
      <w:r w:rsidR="00BA236D" w:rsidRPr="00A56A98">
        <w:t xml:space="preserve">– </w:t>
      </w:r>
      <w:r w:rsidR="00E9645D">
        <w:t>2</w:t>
      </w:r>
      <w:r>
        <w:t>2</w:t>
      </w:r>
      <w:r>
        <w:rPr>
          <w:vertAlign w:val="superscript"/>
        </w:rPr>
        <w:t>nd</w:t>
      </w:r>
      <w:r w:rsidR="00CB5824" w:rsidRPr="00BE017E">
        <w:t>, 201</w:t>
      </w:r>
      <w:r w:rsidR="001C0DAC" w:rsidRPr="00A56A98">
        <w:t>9</w:t>
      </w:r>
    </w:p>
    <w:p w14:paraId="02FC2FA1" w14:textId="6BFBDF1B" w:rsidR="00E90E49" w:rsidRPr="001C585A" w:rsidRDefault="00E90E49" w:rsidP="00357380">
      <w:pPr>
        <w:pStyle w:val="3GPPHeader"/>
      </w:pPr>
    </w:p>
    <w:p w14:paraId="1FBBDBE0" w14:textId="0BD4BAD6" w:rsidR="00E90E49" w:rsidRPr="001C585A" w:rsidRDefault="00E90E49" w:rsidP="00311702">
      <w:pPr>
        <w:pStyle w:val="3GPPHeader"/>
        <w:rPr>
          <w:sz w:val="22"/>
        </w:rPr>
      </w:pPr>
      <w:r w:rsidRPr="001C585A">
        <w:rPr>
          <w:sz w:val="22"/>
        </w:rPr>
        <w:t>Agenda Item:</w:t>
      </w:r>
      <w:r w:rsidRPr="001C585A">
        <w:rPr>
          <w:sz w:val="22"/>
        </w:rPr>
        <w:tab/>
      </w:r>
      <w:r w:rsidR="00BA233B" w:rsidRPr="001C585A">
        <w:rPr>
          <w:sz w:val="22"/>
        </w:rPr>
        <w:t>7.2.2.</w:t>
      </w:r>
      <w:r w:rsidR="00E922D0" w:rsidRPr="001C585A">
        <w:rPr>
          <w:sz w:val="22"/>
        </w:rPr>
        <w:t>2</w:t>
      </w:r>
      <w:r w:rsidR="00BA233B" w:rsidRPr="001C585A">
        <w:rPr>
          <w:sz w:val="22"/>
        </w:rPr>
        <w:t>.2</w:t>
      </w:r>
    </w:p>
    <w:p w14:paraId="04EEF68C" w14:textId="5CFEA234" w:rsidR="00E90E49" w:rsidRPr="001C585A" w:rsidRDefault="003D3C45" w:rsidP="00F64C2B">
      <w:pPr>
        <w:pStyle w:val="3GPPHeader"/>
        <w:rPr>
          <w:sz w:val="22"/>
        </w:rPr>
      </w:pPr>
      <w:r w:rsidRPr="001C585A">
        <w:rPr>
          <w:sz w:val="22"/>
        </w:rPr>
        <w:t>Source:</w:t>
      </w:r>
      <w:r w:rsidR="00E90E49" w:rsidRPr="001C585A">
        <w:rPr>
          <w:sz w:val="22"/>
        </w:rPr>
        <w:tab/>
      </w:r>
      <w:r w:rsidR="00F64C2B" w:rsidRPr="001C585A">
        <w:rPr>
          <w:sz w:val="22"/>
        </w:rPr>
        <w:t>Ericsson</w:t>
      </w:r>
    </w:p>
    <w:p w14:paraId="5E751EFE" w14:textId="51FE50E4" w:rsidR="00E90E49" w:rsidRPr="001C585A" w:rsidRDefault="003D3C45" w:rsidP="00311702">
      <w:pPr>
        <w:pStyle w:val="3GPPHeader"/>
        <w:rPr>
          <w:sz w:val="22"/>
        </w:rPr>
      </w:pPr>
      <w:r w:rsidRPr="001C585A">
        <w:rPr>
          <w:sz w:val="22"/>
        </w:rPr>
        <w:t>Title:</w:t>
      </w:r>
      <w:r w:rsidR="00E90E49" w:rsidRPr="001C585A">
        <w:rPr>
          <w:sz w:val="22"/>
        </w:rPr>
        <w:tab/>
      </w:r>
      <w:r w:rsidR="00E922D0" w:rsidRPr="001C585A">
        <w:rPr>
          <w:sz w:val="22"/>
        </w:rPr>
        <w:t>Enhancements to initial access procedure</w:t>
      </w:r>
    </w:p>
    <w:p w14:paraId="4E32D0B6" w14:textId="022BD619" w:rsidR="00E90E49" w:rsidRPr="001C585A" w:rsidRDefault="00E90E49" w:rsidP="00D546FF">
      <w:pPr>
        <w:pStyle w:val="3GPPHeader"/>
        <w:rPr>
          <w:sz w:val="22"/>
        </w:rPr>
      </w:pPr>
      <w:r w:rsidRPr="001C585A">
        <w:rPr>
          <w:sz w:val="22"/>
        </w:rPr>
        <w:t>Document for:</w:t>
      </w:r>
      <w:r w:rsidRPr="001C585A">
        <w:rPr>
          <w:sz w:val="22"/>
        </w:rPr>
        <w:tab/>
        <w:t>Discussion, Decision</w:t>
      </w:r>
    </w:p>
    <w:p w14:paraId="5430F471" w14:textId="03B93786" w:rsidR="006D2A87" w:rsidRPr="00321409" w:rsidRDefault="00E90E49" w:rsidP="00E02936">
      <w:pPr>
        <w:pStyle w:val="Heading1"/>
        <w:rPr>
          <w:lang w:val="en-US"/>
        </w:rPr>
      </w:pPr>
      <w:r w:rsidRPr="00321409">
        <w:rPr>
          <w:lang w:val="en-US"/>
        </w:rPr>
        <w:t>Introduction</w:t>
      </w:r>
    </w:p>
    <w:p w14:paraId="5BAD7636" w14:textId="53AA18BA" w:rsidR="00D964C2" w:rsidRDefault="007932E9" w:rsidP="006D2A87">
      <w:pPr>
        <w:pStyle w:val="BodyText"/>
      </w:pPr>
      <w:r w:rsidRPr="001C585A">
        <w:t>In this contribution we discuss further details on procedures for initial access, RRM measurements and radio link monitoring.</w:t>
      </w:r>
      <w:r w:rsidR="00D964C2" w:rsidRPr="001C585A">
        <w:t xml:space="preserve"> </w:t>
      </w:r>
      <w:r w:rsidR="00F36261">
        <w:t xml:space="preserve">In </w:t>
      </w:r>
      <w:r w:rsidR="00AA0135">
        <w:fldChar w:fldCharType="begin"/>
      </w:r>
      <w:r w:rsidR="00AA0135">
        <w:instrText xml:space="preserve"> REF _Ref16172201 \r \h </w:instrText>
      </w:r>
      <w:r w:rsidR="00AA0135">
        <w:fldChar w:fldCharType="separate"/>
      </w:r>
      <w:r w:rsidR="009200D5">
        <w:t>[3]</w:t>
      </w:r>
      <w:r w:rsidR="00AA0135">
        <w:fldChar w:fldCharType="end"/>
      </w:r>
      <w:r w:rsidR="00AA0135">
        <w:t xml:space="preserve"> </w:t>
      </w:r>
      <w:r w:rsidR="00F36261">
        <w:t>the following items were identified as essential:</w:t>
      </w:r>
    </w:p>
    <w:p w14:paraId="141D5219" w14:textId="77777777" w:rsidR="00F36261" w:rsidRPr="003D3350" w:rsidRDefault="00F36261" w:rsidP="00F36261">
      <w:r w:rsidRPr="003D3350">
        <w:rPr>
          <w:b/>
          <w:bCs/>
        </w:rPr>
        <w:t>Essential</w:t>
      </w:r>
    </w:p>
    <w:p w14:paraId="43E33C55" w14:textId="77777777" w:rsidR="00F36261" w:rsidRPr="003D3350" w:rsidRDefault="00F36261" w:rsidP="00475206">
      <w:pPr>
        <w:numPr>
          <w:ilvl w:val="0"/>
          <w:numId w:val="27"/>
        </w:numPr>
        <w:overflowPunct w:val="0"/>
        <w:autoSpaceDE w:val="0"/>
        <w:autoSpaceDN w:val="0"/>
        <w:adjustRightInd w:val="0"/>
        <w:spacing w:after="180" w:line="240" w:lineRule="auto"/>
        <w:textAlignment w:val="baseline"/>
      </w:pPr>
      <w:r w:rsidRPr="003D3350">
        <w:t>Timing recovery from SSB</w:t>
      </w:r>
    </w:p>
    <w:p w14:paraId="7F8E6C01" w14:textId="77777777" w:rsidR="00F36261" w:rsidRPr="003D3350" w:rsidRDefault="00F36261" w:rsidP="00475206">
      <w:pPr>
        <w:numPr>
          <w:ilvl w:val="0"/>
          <w:numId w:val="27"/>
        </w:numPr>
        <w:overflowPunct w:val="0"/>
        <w:autoSpaceDE w:val="0"/>
        <w:autoSpaceDN w:val="0"/>
        <w:adjustRightInd w:val="0"/>
        <w:spacing w:after="180" w:line="240" w:lineRule="auto"/>
        <w:textAlignment w:val="baseline"/>
      </w:pPr>
      <w:r w:rsidRPr="003D3350">
        <w:t>Cross SSB QCL relationship by Q and A: Which A, how to indicate or determine Q, range of Q, how to determine Q for RRM</w:t>
      </w:r>
    </w:p>
    <w:p w14:paraId="15D26E7B" w14:textId="77777777" w:rsidR="00F36261" w:rsidRPr="003D3350" w:rsidRDefault="00F36261" w:rsidP="00475206">
      <w:pPr>
        <w:numPr>
          <w:ilvl w:val="0"/>
          <w:numId w:val="27"/>
        </w:numPr>
        <w:overflowPunct w:val="0"/>
        <w:autoSpaceDE w:val="0"/>
        <w:autoSpaceDN w:val="0"/>
        <w:adjustRightInd w:val="0"/>
        <w:spacing w:after="180" w:line="240" w:lineRule="auto"/>
        <w:textAlignment w:val="baseline"/>
      </w:pPr>
      <w:r w:rsidRPr="003D3350">
        <w:t>Type0-PDCCH monitoring</w:t>
      </w:r>
    </w:p>
    <w:p w14:paraId="44E531EF" w14:textId="77777777" w:rsidR="00F36261" w:rsidRPr="003D3350" w:rsidRDefault="00F36261" w:rsidP="00475206">
      <w:pPr>
        <w:numPr>
          <w:ilvl w:val="0"/>
          <w:numId w:val="27"/>
        </w:numPr>
        <w:overflowPunct w:val="0"/>
        <w:autoSpaceDE w:val="0"/>
        <w:autoSpaceDN w:val="0"/>
        <w:adjustRightInd w:val="0"/>
        <w:spacing w:after="180" w:line="240" w:lineRule="auto"/>
        <w:textAlignment w:val="baseline"/>
      </w:pPr>
      <w:r w:rsidRPr="003D3350">
        <w:t xml:space="preserve">RLM enhancement: IS and OOS </w:t>
      </w:r>
    </w:p>
    <w:p w14:paraId="6811F628" w14:textId="2A60ABB4" w:rsidR="00F36261" w:rsidRDefault="008B5007" w:rsidP="006D2A87">
      <w:pPr>
        <w:pStyle w:val="BodyText"/>
      </w:pPr>
      <w:r>
        <w:t xml:space="preserve">The mechanisms for </w:t>
      </w:r>
      <w:r w:rsidR="000510B4">
        <w:t>“</w:t>
      </w:r>
      <w:r>
        <w:t>timing recovery from SSB</w:t>
      </w:r>
      <w:r w:rsidR="000510B4">
        <w:t>”</w:t>
      </w:r>
      <w:r w:rsidR="000B1C9C">
        <w:t xml:space="preserve"> was agreed in RAN1#98</w:t>
      </w:r>
      <w:r w:rsidR="000510B4">
        <w:t>:</w:t>
      </w:r>
    </w:p>
    <w:p w14:paraId="0739254E"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highlight w:val="cyan"/>
          <w:u w:val="single"/>
          <w:lang w:val="en-GB" w:eastAsia="sv-SE"/>
        </w:rPr>
        <w:t>Conclusion:</w:t>
      </w:r>
    </w:p>
    <w:p w14:paraId="3658C66D"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lang w:val="en-GB" w:eastAsia="sv-SE"/>
        </w:rPr>
        <w:t>The maximum number of PBCH DMRS sequences used in a cell is unchanged from Rel-15 (=8).</w:t>
      </w:r>
    </w:p>
    <w:p w14:paraId="06C11A12" w14:textId="77777777" w:rsidR="000510B4" w:rsidRPr="000510B4" w:rsidRDefault="000510B4" w:rsidP="00475206">
      <w:pPr>
        <w:numPr>
          <w:ilvl w:val="0"/>
          <w:numId w:val="28"/>
        </w:numPr>
        <w:spacing w:after="0" w:line="276" w:lineRule="auto"/>
        <w:ind w:left="1267"/>
        <w:contextualSpacing/>
        <w:jc w:val="both"/>
        <w:rPr>
          <w:rFonts w:ascii="Times New Roman" w:eastAsia="Times New Roman" w:hAnsi="Times New Roman" w:cs="Times New Roman"/>
          <w:sz w:val="20"/>
          <w:szCs w:val="24"/>
          <w:lang w:eastAsia="sv-SE"/>
        </w:rPr>
      </w:pPr>
      <w:r w:rsidRPr="000510B4">
        <w:rPr>
          <w:rFonts w:ascii="Times" w:eastAsiaTheme="minorEastAsia" w:hAnsi="Times" w:cs="Times"/>
          <w:color w:val="000000" w:themeColor="text1"/>
          <w:kern w:val="24"/>
          <w:sz w:val="20"/>
          <w:szCs w:val="20"/>
          <w:lang w:val="en-GB" w:eastAsia="sv-SE"/>
        </w:rPr>
        <w:t>The number of PBCH DMRS sequences used in a cell is independent of Q.</w:t>
      </w:r>
    </w:p>
    <w:p w14:paraId="3911C92E"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highlight w:val="green"/>
          <w:lang w:val="en-GB" w:eastAsia="sv-SE"/>
        </w:rPr>
        <w:t>Agreement:</w:t>
      </w:r>
    </w:p>
    <w:p w14:paraId="7A5FBCBA"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lang w:val="en-GB" w:eastAsia="sv-SE"/>
        </w:rPr>
        <w:t>The 3 LSB bits of the SSB candidate position index are represented by the PBCH DMRS sequence index.</w:t>
      </w:r>
    </w:p>
    <w:p w14:paraId="45D835AA"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lang w:val="en-GB" w:eastAsia="sv-SE"/>
        </w:rPr>
        <w:t> </w:t>
      </w:r>
    </w:p>
    <w:p w14:paraId="128F8B9C"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highlight w:val="green"/>
          <w:lang w:val="en-GB" w:eastAsia="sv-SE"/>
        </w:rPr>
        <w:t>Agreement:</w:t>
      </w:r>
    </w:p>
    <w:p w14:paraId="27EB92C6"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lang w:val="en-GB" w:eastAsia="sv-SE"/>
        </w:rPr>
        <w:t>The following bits of the PBCH payload (not MIB) are used for serving cell timing determination within a frame in addition to the PBCH DMRS sequence index as agreed earlier:</w:t>
      </w:r>
    </w:p>
    <w:p w14:paraId="136A8B20" w14:textId="77777777" w:rsidR="000510B4" w:rsidRPr="000510B4" w:rsidRDefault="00C82440" w:rsidP="00475206">
      <w:pPr>
        <w:numPr>
          <w:ilvl w:val="0"/>
          <w:numId w:val="29"/>
        </w:numPr>
        <w:spacing w:after="0" w:line="240" w:lineRule="auto"/>
        <w:ind w:left="1267"/>
        <w:contextualSpacing/>
        <w:jc w:val="both"/>
        <w:rPr>
          <w:rFonts w:ascii="Times New Roman" w:eastAsia="Times New Roman" w:hAnsi="Times New Roman" w:cs="Times New Roman"/>
          <w:sz w:val="20"/>
          <w:szCs w:val="24"/>
          <w:lang w:eastAsia="sv-SE"/>
        </w:rPr>
      </w:pPr>
      <m:oMath>
        <m:sSub>
          <m:sSubPr>
            <m:ctrlPr>
              <w:rPr>
                <w:rFonts w:ascii="Cambria Math" w:eastAsiaTheme="minorEastAsia" w:hAnsi="Cambria Math"/>
                <w:i/>
                <w:iCs/>
                <w:color w:val="000000" w:themeColor="text1"/>
                <w:kern w:val="24"/>
                <w:sz w:val="24"/>
                <w:szCs w:val="24"/>
                <w:lang w:eastAsia="sv-SE"/>
              </w:rPr>
            </m:ctrlPr>
          </m:sSubPr>
          <m:e>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e>
          <m:sub>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r>
              <w:rPr>
                <w:rFonts w:ascii="Cambria Math" w:eastAsiaTheme="minorEastAsia" w:hAnsi="Cambria Math"/>
                <w:color w:val="000000" w:themeColor="text1"/>
                <w:kern w:val="24"/>
                <w:sz w:val="20"/>
                <w:szCs w:val="20"/>
                <w:lang w:val="en-GB" w:eastAsia="sv-SE"/>
              </w:rPr>
              <m:t>+7</m:t>
            </m:r>
          </m:sub>
        </m:sSub>
      </m:oMath>
      <w:r w:rsidR="000510B4" w:rsidRPr="000510B4">
        <w:rPr>
          <w:rFonts w:ascii="Times" w:eastAsiaTheme="minorEastAsia" w:hAnsi="Times" w:cs="Times"/>
          <w:color w:val="000000" w:themeColor="text1"/>
          <w:kern w:val="24"/>
          <w:sz w:val="20"/>
          <w:szCs w:val="20"/>
          <w:lang w:val="en-GB" w:eastAsia="sv-SE"/>
        </w:rPr>
        <w:t xml:space="preserve"> for 15 kHz SCS, and  </w:t>
      </w:r>
      <m:oMath>
        <m:sSub>
          <m:sSubPr>
            <m:ctrlPr>
              <w:rPr>
                <w:rFonts w:ascii="Cambria Math" w:eastAsiaTheme="minorEastAsia" w:hAnsi="Cambria Math"/>
                <w:i/>
                <w:iCs/>
                <w:color w:val="000000" w:themeColor="text1"/>
                <w:kern w:val="24"/>
                <w:sz w:val="24"/>
                <w:szCs w:val="24"/>
                <w:lang w:eastAsia="sv-SE"/>
              </w:rPr>
            </m:ctrlPr>
          </m:sSubPr>
          <m:e>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e>
          <m:sub>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r>
              <w:rPr>
                <w:rFonts w:ascii="Cambria Math" w:eastAsiaTheme="minorEastAsia" w:hAnsi="Cambria Math"/>
                <w:color w:val="000000" w:themeColor="text1"/>
                <w:kern w:val="24"/>
                <w:sz w:val="20"/>
                <w:szCs w:val="20"/>
                <w:lang w:val="en-GB" w:eastAsia="sv-SE"/>
              </w:rPr>
              <m:t>+6</m:t>
            </m:r>
          </m:sub>
        </m:sSub>
      </m:oMath>
      <w:r w:rsidR="000510B4" w:rsidRPr="000510B4">
        <w:rPr>
          <w:rFonts w:ascii="Times" w:eastAsiaTheme="minorEastAsia" w:hAnsi="Times" w:cs="Times"/>
          <w:color w:val="000000" w:themeColor="text1"/>
          <w:kern w:val="24"/>
          <w:sz w:val="20"/>
          <w:szCs w:val="20"/>
          <w:lang w:val="en-GB" w:eastAsia="sv-SE"/>
        </w:rPr>
        <w:t xml:space="preserve"> and </w:t>
      </w:r>
      <m:oMath>
        <m:sSub>
          <m:sSubPr>
            <m:ctrlPr>
              <w:rPr>
                <w:rFonts w:ascii="Cambria Math" w:eastAsiaTheme="minorEastAsia" w:hAnsi="Cambria Math"/>
                <w:i/>
                <w:iCs/>
                <w:color w:val="000000" w:themeColor="text1"/>
                <w:kern w:val="24"/>
                <w:sz w:val="24"/>
                <w:szCs w:val="24"/>
                <w:lang w:eastAsia="sv-SE"/>
              </w:rPr>
            </m:ctrlPr>
          </m:sSubPr>
          <m:e>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e>
          <m:sub>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r>
              <w:rPr>
                <w:rFonts w:ascii="Cambria Math" w:eastAsiaTheme="minorEastAsia" w:hAnsi="Cambria Math"/>
                <w:color w:val="000000" w:themeColor="text1"/>
                <w:kern w:val="24"/>
                <w:sz w:val="20"/>
                <w:szCs w:val="20"/>
                <w:lang w:val="en-GB" w:eastAsia="sv-SE"/>
              </w:rPr>
              <m:t>+7</m:t>
            </m:r>
          </m:sub>
        </m:sSub>
      </m:oMath>
      <w:r w:rsidR="000510B4" w:rsidRPr="000510B4">
        <w:rPr>
          <w:rFonts w:ascii="Times" w:eastAsiaTheme="minorEastAsia" w:hAnsi="Times" w:cs="Times"/>
          <w:color w:val="000000" w:themeColor="text1"/>
          <w:kern w:val="24"/>
          <w:sz w:val="20"/>
          <w:szCs w:val="20"/>
          <w:lang w:val="en-GB" w:eastAsia="sv-SE"/>
        </w:rPr>
        <w:t xml:space="preserve"> for 30 kHz SCS</w:t>
      </w:r>
    </w:p>
    <w:p w14:paraId="79681241" w14:textId="77777777" w:rsidR="000510B4" w:rsidRPr="000510B4" w:rsidRDefault="00C82440" w:rsidP="00475206">
      <w:pPr>
        <w:numPr>
          <w:ilvl w:val="0"/>
          <w:numId w:val="29"/>
        </w:numPr>
        <w:spacing w:after="0" w:line="240" w:lineRule="auto"/>
        <w:ind w:left="1267"/>
        <w:contextualSpacing/>
        <w:jc w:val="both"/>
        <w:rPr>
          <w:rFonts w:ascii="Times New Roman" w:eastAsia="Times New Roman" w:hAnsi="Times New Roman" w:cs="Times New Roman"/>
          <w:sz w:val="20"/>
          <w:szCs w:val="24"/>
          <w:lang w:eastAsia="sv-SE"/>
        </w:rPr>
      </w:pPr>
      <m:oMath>
        <m:sSub>
          <m:sSubPr>
            <m:ctrlPr>
              <w:rPr>
                <w:rFonts w:ascii="Cambria Math" w:eastAsiaTheme="minorEastAsia" w:hAnsi="Cambria Math"/>
                <w:i/>
                <w:iCs/>
                <w:color w:val="000000" w:themeColor="text1"/>
                <w:kern w:val="24"/>
                <w:sz w:val="24"/>
                <w:szCs w:val="24"/>
                <w:lang w:eastAsia="sv-SE"/>
              </w:rPr>
            </m:ctrlPr>
          </m:sSubPr>
          <m:e>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e>
          <m:sub>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r>
              <w:rPr>
                <w:rFonts w:ascii="Cambria Math" w:eastAsiaTheme="minorEastAsia" w:hAnsi="Cambria Math"/>
                <w:color w:val="000000" w:themeColor="text1"/>
                <w:kern w:val="24"/>
                <w:sz w:val="20"/>
                <w:szCs w:val="20"/>
                <w:lang w:val="en-GB" w:eastAsia="sv-SE"/>
              </w:rPr>
              <m:t>+4</m:t>
            </m:r>
          </m:sub>
        </m:sSub>
      </m:oMath>
      <w:r w:rsidR="000510B4" w:rsidRPr="000510B4">
        <w:rPr>
          <w:rFonts w:ascii="Times" w:eastAsiaTheme="minorEastAsia" w:hAnsi="Times" w:cs="Times"/>
          <w:color w:val="000000" w:themeColor="text1"/>
          <w:kern w:val="24"/>
          <w:sz w:val="20"/>
          <w:szCs w:val="20"/>
          <w:lang w:val="en-GB" w:eastAsia="sv-SE"/>
        </w:rPr>
        <w:t xml:space="preserve"> (the half-frame bit as in Rel-15)</w:t>
      </w:r>
    </w:p>
    <w:p w14:paraId="0FA1EBEC" w14:textId="77777777" w:rsidR="000510B4" w:rsidRPr="001C585A" w:rsidRDefault="000510B4" w:rsidP="006D2A87">
      <w:pPr>
        <w:pStyle w:val="BodyText"/>
      </w:pPr>
    </w:p>
    <w:p w14:paraId="3E8C0230" w14:textId="365857D8" w:rsidR="00EB00D9" w:rsidRPr="00321409" w:rsidRDefault="00637812" w:rsidP="000C1DB6">
      <w:pPr>
        <w:pStyle w:val="Heading1"/>
        <w:rPr>
          <w:lang w:val="en-US"/>
        </w:rPr>
      </w:pPr>
      <w:r>
        <w:rPr>
          <w:lang w:val="en-US"/>
        </w:rPr>
        <w:t>1</w:t>
      </w:r>
      <w:r w:rsidR="00EB00D9" w:rsidRPr="00321409">
        <w:rPr>
          <w:lang w:val="en-US"/>
        </w:rPr>
        <w:tab/>
      </w:r>
      <w:r w:rsidR="00263606" w:rsidRPr="00321409">
        <w:rPr>
          <w:lang w:val="en-US"/>
        </w:rPr>
        <w:t>QCL determination</w:t>
      </w:r>
      <w:r w:rsidR="00286457" w:rsidRPr="00321409">
        <w:rPr>
          <w:lang w:val="en-US"/>
        </w:rPr>
        <w:t xml:space="preserve"> </w:t>
      </w:r>
    </w:p>
    <w:p w14:paraId="25BD601D" w14:textId="34FB69F7" w:rsidR="00CE68CB" w:rsidRDefault="00A04525" w:rsidP="00CB5824">
      <w:pPr>
        <w:pStyle w:val="BodyText"/>
      </w:pPr>
      <w:r>
        <w:t xml:space="preserve">In RAN1#98 </w:t>
      </w:r>
      <w:r w:rsidR="007419D1">
        <w:t xml:space="preserve">the following agreements regarding QCL determination </w:t>
      </w:r>
      <w:r w:rsidR="00B254C3">
        <w:t xml:space="preserve">were </w:t>
      </w:r>
      <w:r w:rsidR="007419D1">
        <w:t>made</w:t>
      </w:r>
      <w:r w:rsidR="00170ADC">
        <w:t>:</w:t>
      </w:r>
    </w:p>
    <w:p w14:paraId="65DB22B4" w14:textId="77777777" w:rsidR="00170ADC" w:rsidRPr="00170ADC" w:rsidRDefault="00170ADC" w:rsidP="00170ADC">
      <w:pPr>
        <w:spacing w:after="0" w:line="288" w:lineRule="auto"/>
        <w:rPr>
          <w:rFonts w:ascii="Times New Roman" w:eastAsia="Times New Roman" w:hAnsi="Times New Roman" w:cs="Times New Roman"/>
          <w:sz w:val="24"/>
          <w:szCs w:val="24"/>
          <w:lang w:eastAsia="sv-SE"/>
        </w:rPr>
      </w:pPr>
      <w:r w:rsidRPr="00170ADC">
        <w:rPr>
          <w:rFonts w:ascii="Times" w:eastAsiaTheme="minorEastAsia" w:hAnsi="Times" w:cs="Times"/>
          <w:color w:val="000000" w:themeColor="text1"/>
          <w:kern w:val="24"/>
          <w:sz w:val="20"/>
          <w:szCs w:val="20"/>
          <w:highlight w:val="green"/>
          <w:lang w:val="en-GB" w:eastAsia="sv-SE"/>
        </w:rPr>
        <w:t>Agreement:</w:t>
      </w:r>
    </w:p>
    <w:p w14:paraId="22CF52C5" w14:textId="77777777" w:rsidR="00170ADC" w:rsidRPr="00170ADC" w:rsidRDefault="00170ADC" w:rsidP="00170ADC">
      <w:pPr>
        <w:spacing w:after="0" w:line="288" w:lineRule="auto"/>
        <w:rPr>
          <w:rFonts w:ascii="Times New Roman" w:eastAsia="Times New Roman" w:hAnsi="Times New Roman" w:cs="Times New Roman"/>
          <w:sz w:val="24"/>
          <w:szCs w:val="24"/>
          <w:lang w:eastAsia="sv-SE"/>
        </w:rPr>
      </w:pPr>
      <w:r w:rsidRPr="00170ADC">
        <w:rPr>
          <w:rFonts w:ascii="Times" w:eastAsiaTheme="minorEastAsia" w:hAnsi="Times" w:cs="Times"/>
          <w:color w:val="000000" w:themeColor="text1"/>
          <w:kern w:val="24"/>
          <w:sz w:val="20"/>
          <w:szCs w:val="20"/>
          <w:lang w:val="en-GB" w:eastAsia="sv-SE"/>
        </w:rPr>
        <w:t xml:space="preserve">For a cell (either serving or a neighbour cell), UE may assume a QCL relation between SS/PBCH blocks within or across DRS transmission or measurement windows that have the same value of </w:t>
      </w:r>
      <w:proofErr w:type="gramStart"/>
      <w:r w:rsidRPr="00170ADC">
        <w:rPr>
          <w:rFonts w:ascii="Times" w:eastAsiaTheme="minorEastAsia" w:hAnsi="Times" w:cs="Times"/>
          <w:color w:val="000000" w:themeColor="text1"/>
          <w:kern w:val="24"/>
          <w:sz w:val="20"/>
          <w:szCs w:val="20"/>
          <w:lang w:val="en-GB" w:eastAsia="sv-SE"/>
        </w:rPr>
        <w:t>modulo(</w:t>
      </w:r>
      <w:proofErr w:type="gramEnd"/>
      <w:r w:rsidRPr="00170ADC">
        <w:rPr>
          <w:rFonts w:ascii="Times" w:eastAsiaTheme="minorEastAsia" w:hAnsi="Times" w:cs="Times"/>
          <w:color w:val="000000" w:themeColor="text1"/>
          <w:kern w:val="24"/>
          <w:sz w:val="20"/>
          <w:szCs w:val="20"/>
          <w:lang w:val="en-GB" w:eastAsia="sv-SE"/>
        </w:rPr>
        <w:t>A, Q), once Q is known to the UE</w:t>
      </w:r>
    </w:p>
    <w:p w14:paraId="06A72151" w14:textId="77777777" w:rsidR="00170ADC" w:rsidRPr="00170ADC" w:rsidRDefault="00170ADC" w:rsidP="00475206">
      <w:pPr>
        <w:numPr>
          <w:ilvl w:val="0"/>
          <w:numId w:val="30"/>
        </w:numPr>
        <w:spacing w:after="0" w:line="276" w:lineRule="auto"/>
        <w:ind w:left="1267"/>
        <w:contextualSpacing/>
        <w:jc w:val="both"/>
        <w:rPr>
          <w:rFonts w:ascii="Times New Roman" w:eastAsia="Times New Roman" w:hAnsi="Times New Roman" w:cs="Times New Roman"/>
          <w:sz w:val="20"/>
          <w:szCs w:val="24"/>
          <w:lang w:eastAsia="sv-SE"/>
        </w:rPr>
      </w:pPr>
      <w:r w:rsidRPr="00170ADC">
        <w:rPr>
          <w:rFonts w:ascii="Times" w:eastAsiaTheme="minorEastAsia" w:hAnsi="Times" w:cs="Times"/>
          <w:color w:val="000000" w:themeColor="text1"/>
          <w:kern w:val="24"/>
          <w:sz w:val="20"/>
          <w:szCs w:val="20"/>
          <w:lang w:val="en-GB" w:eastAsia="sv-SE"/>
        </w:rPr>
        <w:t>A is the PBCH DMRS sequence index.</w:t>
      </w:r>
    </w:p>
    <w:p w14:paraId="54B5DA6B" w14:textId="77777777" w:rsidR="00170ADC" w:rsidRPr="00170ADC" w:rsidRDefault="00170ADC" w:rsidP="00475206">
      <w:pPr>
        <w:numPr>
          <w:ilvl w:val="0"/>
          <w:numId w:val="30"/>
        </w:numPr>
        <w:spacing w:after="0" w:line="276" w:lineRule="auto"/>
        <w:ind w:left="1267"/>
        <w:contextualSpacing/>
        <w:jc w:val="both"/>
        <w:rPr>
          <w:rFonts w:ascii="Times New Roman" w:eastAsia="Times New Roman" w:hAnsi="Times New Roman" w:cs="Times New Roman"/>
          <w:sz w:val="20"/>
          <w:szCs w:val="24"/>
          <w:lang w:eastAsia="sv-SE"/>
        </w:rPr>
      </w:pPr>
      <w:r w:rsidRPr="00170ADC">
        <w:rPr>
          <w:rFonts w:ascii="Times" w:eastAsiaTheme="minorEastAsia" w:hAnsi="Times" w:cs="Times"/>
          <w:color w:val="000000" w:themeColor="text1"/>
          <w:kern w:val="24"/>
          <w:sz w:val="20"/>
          <w:szCs w:val="20"/>
          <w:lang w:val="en-GB" w:eastAsia="sv-SE"/>
        </w:rPr>
        <w:lastRenderedPageBreak/>
        <w:t>Note: This agreement extends a prior agreement for serving cells on QCL relation between SS/PBCH blocks to neighbour cells</w:t>
      </w:r>
    </w:p>
    <w:p w14:paraId="2B9CA639" w14:textId="259B18C1" w:rsidR="00170ADC" w:rsidRDefault="00170ADC" w:rsidP="00CB5824">
      <w:pPr>
        <w:pStyle w:val="BodyText"/>
      </w:pPr>
    </w:p>
    <w:p w14:paraId="439BC83B" w14:textId="77777777" w:rsidR="008936F5" w:rsidRPr="008936F5" w:rsidRDefault="008936F5" w:rsidP="008936F5">
      <w:pPr>
        <w:spacing w:after="0" w:line="240" w:lineRule="auto"/>
        <w:rPr>
          <w:rFonts w:ascii="Times New Roman" w:eastAsia="Times New Roman" w:hAnsi="Times New Roman" w:cs="Times New Roman"/>
          <w:sz w:val="24"/>
          <w:szCs w:val="24"/>
          <w:lang w:eastAsia="sv-SE"/>
        </w:rPr>
      </w:pPr>
      <w:r w:rsidRPr="008936F5">
        <w:rPr>
          <w:rFonts w:ascii="Times" w:eastAsia="Batang" w:hAnsi="Times" w:cs="Times"/>
          <w:color w:val="000000" w:themeColor="text1"/>
          <w:kern w:val="24"/>
          <w:sz w:val="20"/>
          <w:szCs w:val="20"/>
          <w:highlight w:val="green"/>
          <w:lang w:val="en-GB" w:eastAsia="sv-SE"/>
        </w:rPr>
        <w:t>Agreement:</w:t>
      </w:r>
    </w:p>
    <w:p w14:paraId="4A5D59CC" w14:textId="77777777" w:rsidR="008936F5" w:rsidRPr="008936F5" w:rsidRDefault="008936F5" w:rsidP="008936F5">
      <w:pPr>
        <w:spacing w:after="0" w:line="276" w:lineRule="auto"/>
        <w:jc w:val="both"/>
        <w:rPr>
          <w:rFonts w:ascii="Times New Roman" w:eastAsia="Times New Roman" w:hAnsi="Times New Roman" w:cs="Times New Roman"/>
          <w:sz w:val="24"/>
          <w:szCs w:val="24"/>
          <w:lang w:eastAsia="sv-SE"/>
        </w:rPr>
      </w:pPr>
      <w:r w:rsidRPr="008936F5">
        <w:rPr>
          <w:rFonts w:ascii="Times" w:eastAsiaTheme="minorEastAsia" w:hAnsi="Times" w:cs="Times"/>
          <w:color w:val="000000" w:themeColor="text1"/>
          <w:kern w:val="24"/>
          <w:sz w:val="20"/>
          <w:szCs w:val="20"/>
          <w:lang w:val="en-GB" w:eastAsia="sv-SE"/>
        </w:rPr>
        <w:t>For purposes of SSB QCL derivation, the following values of Q are supported: {1, 2, 4, 8}.</w:t>
      </w:r>
    </w:p>
    <w:p w14:paraId="7A4AC331" w14:textId="77777777" w:rsidR="008936F5" w:rsidRPr="008936F5" w:rsidRDefault="008936F5" w:rsidP="00475206">
      <w:pPr>
        <w:numPr>
          <w:ilvl w:val="0"/>
          <w:numId w:val="31"/>
        </w:numPr>
        <w:spacing w:after="0" w:line="276" w:lineRule="auto"/>
        <w:ind w:left="1267"/>
        <w:contextualSpacing/>
        <w:jc w:val="both"/>
        <w:rPr>
          <w:rFonts w:ascii="Times New Roman" w:eastAsia="Times New Roman" w:hAnsi="Times New Roman" w:cs="Times New Roman"/>
          <w:sz w:val="20"/>
          <w:szCs w:val="24"/>
          <w:lang w:eastAsia="sv-SE"/>
        </w:rPr>
      </w:pPr>
      <w:r w:rsidRPr="008936F5">
        <w:rPr>
          <w:rFonts w:ascii="Times" w:eastAsiaTheme="minorEastAsia" w:hAnsi="Times" w:cs="Times"/>
          <w:color w:val="000000" w:themeColor="text1"/>
          <w:kern w:val="24"/>
          <w:sz w:val="20"/>
          <w:szCs w:val="20"/>
          <w:lang w:val="en-GB" w:eastAsia="sv-SE"/>
        </w:rPr>
        <w:t>FFS: Further down-selection of allowed values.</w:t>
      </w:r>
    </w:p>
    <w:p w14:paraId="4A117064" w14:textId="5E22B971" w:rsidR="00170ADC" w:rsidRDefault="00170ADC" w:rsidP="00CB5824">
      <w:pPr>
        <w:pStyle w:val="BodyText"/>
      </w:pPr>
    </w:p>
    <w:p w14:paraId="6F43746E" w14:textId="77777777" w:rsidR="005E6441" w:rsidRPr="005E6441" w:rsidRDefault="005E6441" w:rsidP="005E6441">
      <w:pPr>
        <w:spacing w:after="0" w:line="276" w:lineRule="auto"/>
        <w:jc w:val="both"/>
        <w:rPr>
          <w:rFonts w:ascii="Times New Roman" w:eastAsia="Times New Roman" w:hAnsi="Times New Roman" w:cs="Times New Roman"/>
          <w:sz w:val="24"/>
          <w:szCs w:val="24"/>
          <w:lang w:eastAsia="sv-SE"/>
        </w:rPr>
      </w:pPr>
      <w:r w:rsidRPr="005E6441">
        <w:rPr>
          <w:rFonts w:ascii="Times" w:eastAsiaTheme="minorEastAsia" w:hAnsi="Times" w:cs="Times"/>
          <w:color w:val="000000" w:themeColor="text1"/>
          <w:kern w:val="24"/>
          <w:sz w:val="20"/>
          <w:szCs w:val="20"/>
          <w:highlight w:val="green"/>
          <w:lang w:val="en-GB" w:eastAsia="sv-SE"/>
        </w:rPr>
        <w:t>Agreement:</w:t>
      </w:r>
    </w:p>
    <w:p w14:paraId="09D68D6F" w14:textId="77777777" w:rsidR="005E6441" w:rsidRPr="005E6441" w:rsidRDefault="005E6441" w:rsidP="005E6441">
      <w:pPr>
        <w:spacing w:after="0" w:line="276" w:lineRule="auto"/>
        <w:jc w:val="both"/>
        <w:rPr>
          <w:rFonts w:ascii="Times New Roman" w:eastAsia="Times New Roman" w:hAnsi="Times New Roman" w:cs="Times New Roman"/>
          <w:sz w:val="24"/>
          <w:szCs w:val="24"/>
          <w:lang w:eastAsia="sv-SE"/>
        </w:rPr>
      </w:pPr>
      <w:r w:rsidRPr="005E6441">
        <w:rPr>
          <w:rFonts w:ascii="Times" w:eastAsiaTheme="minorEastAsia" w:hAnsi="Times" w:cs="Times"/>
          <w:color w:val="000000" w:themeColor="text1"/>
          <w:kern w:val="24"/>
          <w:sz w:val="20"/>
          <w:szCs w:val="20"/>
          <w:lang w:val="en-GB" w:eastAsia="sv-SE"/>
        </w:rPr>
        <w:t>If Q is known, candidate monitoring slots for Type0 PDCCH search space are the PDCCH monitoring slots associated with SS/PBCH blocks that are QCL with the SS/PBCH block from which the UE determines that a CORESET for Type0-PDCCH CSS set is present</w:t>
      </w:r>
    </w:p>
    <w:p w14:paraId="06FC9D57" w14:textId="77777777" w:rsidR="005E6441" w:rsidRPr="005E6441" w:rsidRDefault="005E6441" w:rsidP="00475206">
      <w:pPr>
        <w:numPr>
          <w:ilvl w:val="0"/>
          <w:numId w:val="32"/>
        </w:numPr>
        <w:spacing w:after="0" w:line="276" w:lineRule="auto"/>
        <w:ind w:left="1267"/>
        <w:contextualSpacing/>
        <w:jc w:val="both"/>
        <w:rPr>
          <w:rFonts w:ascii="Times New Roman" w:eastAsia="Times New Roman" w:hAnsi="Times New Roman" w:cs="Times New Roman"/>
          <w:sz w:val="20"/>
          <w:szCs w:val="24"/>
          <w:lang w:eastAsia="sv-SE"/>
        </w:rPr>
      </w:pPr>
      <w:r w:rsidRPr="005E6441">
        <w:rPr>
          <w:rFonts w:ascii="Times" w:eastAsiaTheme="minorEastAsia" w:hAnsi="Times" w:cs="Times"/>
          <w:color w:val="000000" w:themeColor="text1"/>
          <w:kern w:val="24"/>
          <w:sz w:val="20"/>
          <w:szCs w:val="20"/>
          <w:lang w:val="en-GB" w:eastAsia="sv-SE"/>
        </w:rPr>
        <w:t>Note: Q may be always known depending on where Q is signalled. This aspect is to be discussed further.</w:t>
      </w:r>
    </w:p>
    <w:p w14:paraId="7530FBA4" w14:textId="7332A960" w:rsidR="005E6441" w:rsidRDefault="005E6441" w:rsidP="00CB5824">
      <w:pPr>
        <w:pStyle w:val="BodyText"/>
      </w:pPr>
    </w:p>
    <w:p w14:paraId="7596757B" w14:textId="5C96F353" w:rsidR="009F67D0" w:rsidRDefault="009F67D0" w:rsidP="009F67D0">
      <w:pPr>
        <w:pStyle w:val="Heading2"/>
      </w:pPr>
      <w:r>
        <w:t>1.1 Signaling of Q</w:t>
      </w:r>
    </w:p>
    <w:p w14:paraId="2CD0B73E" w14:textId="38ABAD9E" w:rsidR="00170ADC" w:rsidRDefault="00CE39B2" w:rsidP="00CB5824">
      <w:pPr>
        <w:pStyle w:val="BodyText"/>
      </w:pPr>
      <w:r>
        <w:t xml:space="preserve">One </w:t>
      </w:r>
      <w:r w:rsidR="00FA6067">
        <w:t xml:space="preserve">topic that remains is how Q is signaled to the </w:t>
      </w:r>
      <w:r w:rsidR="00FA3FFF">
        <w:t>for serving cells</w:t>
      </w:r>
      <w:r w:rsidR="00FA6067">
        <w:t>.</w:t>
      </w:r>
      <w:r w:rsidR="00D8692A">
        <w:t xml:space="preserve"> </w:t>
      </w:r>
      <w:r w:rsidR="008D3F95">
        <w:t xml:space="preserve">In this section we </w:t>
      </w:r>
      <w:r w:rsidR="001C3C5D">
        <w:t xml:space="preserve">go through different </w:t>
      </w:r>
      <w:r w:rsidR="00EA4982">
        <w:t>scenarios</w:t>
      </w:r>
      <w:r w:rsidR="001C3C5D">
        <w:t xml:space="preserve"> and list how Q </w:t>
      </w:r>
      <w:r w:rsidR="002C7156">
        <w:t xml:space="preserve">can be signaled to the UE. </w:t>
      </w:r>
    </w:p>
    <w:p w14:paraId="59859739" w14:textId="3374E36A" w:rsidR="00D030B1" w:rsidRPr="00D030B1" w:rsidRDefault="00FA3FFF" w:rsidP="00CB5824">
      <w:pPr>
        <w:pStyle w:val="BodyText"/>
        <w:rPr>
          <w:b/>
        </w:rPr>
      </w:pPr>
      <w:r>
        <w:rPr>
          <w:b/>
        </w:rPr>
        <w:t>I</w:t>
      </w:r>
      <w:r w:rsidR="002712AE">
        <w:rPr>
          <w:b/>
        </w:rPr>
        <w:t>nitial access</w:t>
      </w:r>
    </w:p>
    <w:p w14:paraId="3065C278" w14:textId="2BFD808B" w:rsidR="007D63EE" w:rsidRPr="001C585A" w:rsidRDefault="007D63EE" w:rsidP="007D63EE">
      <w:pPr>
        <w:pStyle w:val="BodyText"/>
      </w:pPr>
      <w:r w:rsidRPr="001C585A">
        <w:t>The initial access procedure in principle consists of the three steps:</w:t>
      </w:r>
    </w:p>
    <w:p w14:paraId="4AE25234" w14:textId="77777777" w:rsidR="007D63EE" w:rsidRPr="001C585A" w:rsidRDefault="007D63EE" w:rsidP="00475206">
      <w:pPr>
        <w:pStyle w:val="BodyText"/>
        <w:numPr>
          <w:ilvl w:val="0"/>
          <w:numId w:val="17"/>
        </w:numPr>
      </w:pPr>
      <w:r w:rsidRPr="001C585A">
        <w:t>Cell search with frame timing determination</w:t>
      </w:r>
    </w:p>
    <w:p w14:paraId="67788235" w14:textId="685A4887" w:rsidR="007D63EE" w:rsidRPr="001C585A" w:rsidRDefault="007D63EE" w:rsidP="00475206">
      <w:pPr>
        <w:pStyle w:val="BodyText"/>
        <w:numPr>
          <w:ilvl w:val="0"/>
          <w:numId w:val="17"/>
        </w:numPr>
      </w:pPr>
      <w:r w:rsidRPr="001C585A">
        <w:t xml:space="preserve">Reading of </w:t>
      </w:r>
      <w:r w:rsidR="0096740C">
        <w:t>SIB1</w:t>
      </w:r>
      <w:r w:rsidRPr="001C585A">
        <w:t xml:space="preserve"> (including RACH configuration)</w:t>
      </w:r>
    </w:p>
    <w:p w14:paraId="15282BFC" w14:textId="77777777" w:rsidR="007D63EE" w:rsidRPr="001C585A" w:rsidRDefault="007D63EE" w:rsidP="00475206">
      <w:pPr>
        <w:pStyle w:val="BodyText"/>
        <w:numPr>
          <w:ilvl w:val="0"/>
          <w:numId w:val="17"/>
        </w:numPr>
      </w:pPr>
      <w:r w:rsidRPr="001C585A">
        <w:t>Random access</w:t>
      </w:r>
    </w:p>
    <w:p w14:paraId="412C1845" w14:textId="61FFAD7D" w:rsidR="007D63EE" w:rsidRPr="001C585A" w:rsidRDefault="007335A5" w:rsidP="007D63EE">
      <w:pPr>
        <w:pStyle w:val="BodyText"/>
      </w:pPr>
      <w:r>
        <w:t>Because</w:t>
      </w:r>
      <w:r w:rsidR="007D63EE" w:rsidRPr="001C585A">
        <w:t xml:space="preserve"> the number of PBCH DM-RS sequences are fixed (to 8) as in Rel-15, the UE can determine the frame timing without knowledge of </w:t>
      </w:r>
      <w:r w:rsidR="007D63EE" w:rsidRPr="001C585A">
        <w:rPr>
          <w:i/>
        </w:rPr>
        <w:t>Q</w:t>
      </w:r>
      <w:r w:rsidR="007D63EE" w:rsidRPr="001C585A">
        <w:t>.</w:t>
      </w:r>
    </w:p>
    <w:p w14:paraId="6A425FDE" w14:textId="4EF49B39" w:rsidR="00291943" w:rsidRDefault="007D63EE" w:rsidP="007D63EE">
      <w:pPr>
        <w:pStyle w:val="BodyText"/>
      </w:pPr>
      <w:r w:rsidRPr="001C585A">
        <w:t xml:space="preserve">To read </w:t>
      </w:r>
      <w:r w:rsidR="00AA6E54">
        <w:t>SIB1</w:t>
      </w:r>
      <w:r w:rsidRPr="001C585A">
        <w:t xml:space="preserve"> the UE needs to monitor PDCCH in the Type0-PDCCH CSS. The </w:t>
      </w:r>
      <w:r w:rsidR="004127DC">
        <w:t xml:space="preserve">time-domain </w:t>
      </w:r>
      <w:r w:rsidRPr="001C585A">
        <w:t xml:space="preserve">location of the Type0-PDCCH CSS in relation to an SS/PBCH block is signaled in MIB. </w:t>
      </w:r>
      <w:r w:rsidR="00A330CF">
        <w:t xml:space="preserve">In RAN1#98 it was agreed that </w:t>
      </w:r>
      <w:r w:rsidR="004D1B14">
        <w:t xml:space="preserve">if Q is </w:t>
      </w:r>
      <w:r w:rsidR="004D1B14" w:rsidRPr="004D1B14">
        <w:t>known, candidate monitoring slots for Type0 PDCCH search space are the PDCCH monitoring slots associated with SS/PBCH blocks that are QCL with the SS/PBCH block from which the UE determines that a CORESET for Type0-PDCCH CSS set is present</w:t>
      </w:r>
      <w:r w:rsidR="0083308C">
        <w:t xml:space="preserve">. This means that for </w:t>
      </w:r>
      <w:r w:rsidR="00611332">
        <w:t xml:space="preserve">Type0-PDCCH </w:t>
      </w:r>
      <w:r w:rsidR="00915A0C">
        <w:t xml:space="preserve">CSS </w:t>
      </w:r>
      <w:r w:rsidR="00611332">
        <w:t xml:space="preserve">monitoring, the UE can </w:t>
      </w:r>
      <w:r w:rsidR="00DB6A1A">
        <w:t xml:space="preserve">restrict its monitoring to a subset of the </w:t>
      </w:r>
      <w:r w:rsidR="00324736">
        <w:t>monitoring occasions</w:t>
      </w:r>
      <w:r w:rsidR="0083134F">
        <w:t xml:space="preserve">. </w:t>
      </w:r>
      <w:r w:rsidR="00324736">
        <w:t xml:space="preserve">If Q is </w:t>
      </w:r>
      <w:r w:rsidR="0083134F">
        <w:t>not known</w:t>
      </w:r>
      <w:r w:rsidR="00F02F4D">
        <w:t>, the UE needs to monitor every monitoring occasion</w:t>
      </w:r>
      <w:r w:rsidR="00477C73">
        <w:t>.</w:t>
      </w:r>
    </w:p>
    <w:p w14:paraId="53ABF1F9" w14:textId="7529531D" w:rsidR="007D63EE" w:rsidRPr="001C585A" w:rsidRDefault="007D63EE" w:rsidP="007D63EE">
      <w:pPr>
        <w:pStyle w:val="BodyText"/>
      </w:pPr>
      <w:r w:rsidRPr="001C585A">
        <w:t xml:space="preserve">Thus, also for this step, knowledge of </w:t>
      </w:r>
      <w:r w:rsidRPr="001C585A">
        <w:rPr>
          <w:i/>
        </w:rPr>
        <w:t>Q</w:t>
      </w:r>
      <w:r w:rsidRPr="001C585A">
        <w:t xml:space="preserve"> is not required, even if we recognize that some optimizations with regards to Type0-PDCCH CSS monitoring could be possible if </w:t>
      </w:r>
      <w:r w:rsidRPr="001C585A">
        <w:rPr>
          <w:i/>
        </w:rPr>
        <w:t>Q</w:t>
      </w:r>
      <w:r w:rsidRPr="001C585A">
        <w:t xml:space="preserve"> would have been known to the UE at this stage.</w:t>
      </w:r>
      <w:r w:rsidR="008B5563">
        <w:t xml:space="preserve"> Note that </w:t>
      </w:r>
      <w:r w:rsidR="0055586E">
        <w:t>for most cases when the UE monitors</w:t>
      </w:r>
      <w:r w:rsidR="00F66512">
        <w:t xml:space="preserve"> Type0-PDCCH CSS</w:t>
      </w:r>
      <w:r w:rsidR="003A6C6A">
        <w:t xml:space="preserve">, Q is known </w:t>
      </w:r>
      <w:r w:rsidR="0008770C">
        <w:t>through other means (see discussion below)</w:t>
      </w:r>
      <w:r w:rsidR="00F60B99">
        <w:t>,</w:t>
      </w:r>
      <w:r w:rsidR="0008770C">
        <w:t xml:space="preserve"> </w:t>
      </w:r>
      <w:r w:rsidR="001435F5">
        <w:t xml:space="preserve">thus </w:t>
      </w:r>
      <w:r w:rsidR="00F46700">
        <w:t>any optimization would not help reduce battery drain by any significant amount.</w:t>
      </w:r>
    </w:p>
    <w:p w14:paraId="066EAE4F" w14:textId="04D4BB4E" w:rsidR="007D63EE" w:rsidRDefault="007D63EE" w:rsidP="007D63EE">
      <w:pPr>
        <w:pStyle w:val="BodyText"/>
      </w:pPr>
      <w:r w:rsidRPr="001C585A">
        <w:t xml:space="preserve">In the next step the UE maps the detected SS/PBCH block to a RACH resource/preamble. For this step </w:t>
      </w:r>
      <w:r w:rsidRPr="001C585A">
        <w:rPr>
          <w:i/>
        </w:rPr>
        <w:t>Q</w:t>
      </w:r>
      <w:r w:rsidRPr="001C585A">
        <w:t xml:space="preserve"> is needed, since the mapping must be based on the beam index determined as the detected </w:t>
      </w:r>
      <w:r w:rsidR="00EF2830">
        <w:t>PBCH DMRS sequence index</w:t>
      </w:r>
      <w:r w:rsidRPr="001C585A">
        <w:t xml:space="preserve"> modulo </w:t>
      </w:r>
      <w:r w:rsidRPr="001C585A">
        <w:rPr>
          <w:i/>
        </w:rPr>
        <w:t>Q</w:t>
      </w:r>
      <w:r w:rsidRPr="001C585A">
        <w:t>.</w:t>
      </w:r>
      <w:r w:rsidR="004127DC">
        <w:t xml:space="preserve"> </w:t>
      </w:r>
      <w:r w:rsidR="00155BE2">
        <w:t xml:space="preserve">See also discussion in Section 4.1. </w:t>
      </w:r>
      <w:r w:rsidR="004127DC">
        <w:t xml:space="preserve">We note that the RACH configuration required for initial access is obtained through SIB1, so mapping of detected SS/PBCH blocks to RACH resource/preamble is done </w:t>
      </w:r>
      <w:r w:rsidR="004127DC" w:rsidRPr="004127DC">
        <w:rPr>
          <w:i/>
        </w:rPr>
        <w:t>after</w:t>
      </w:r>
      <w:r w:rsidR="004127DC">
        <w:t xml:space="preserve"> the UE has read SIB1.</w:t>
      </w:r>
      <w:r w:rsidR="006E730D">
        <w:t xml:space="preserve"> Thus</w:t>
      </w:r>
      <w:r w:rsidR="004863C8">
        <w:t>,</w:t>
      </w:r>
      <w:r w:rsidR="006E730D">
        <w:t xml:space="preserve"> </w:t>
      </w:r>
      <w:r w:rsidR="004863C8" w:rsidRPr="001C585A">
        <w:rPr>
          <w:i/>
        </w:rPr>
        <w:t>Q</w:t>
      </w:r>
      <w:r w:rsidR="004863C8" w:rsidRPr="001C585A">
        <w:t xml:space="preserve"> is strictly only needed after </w:t>
      </w:r>
      <w:r w:rsidR="004863C8">
        <w:t>SIB1</w:t>
      </w:r>
      <w:r w:rsidR="004863C8" w:rsidRPr="001C585A">
        <w:t xml:space="preserve"> has been read</w:t>
      </w:r>
      <w:r w:rsidR="004863C8">
        <w:t>.</w:t>
      </w:r>
    </w:p>
    <w:p w14:paraId="5347CEC8" w14:textId="227760FA" w:rsidR="004863C8" w:rsidRPr="001C585A" w:rsidRDefault="004863C8" w:rsidP="00ED20EF">
      <w:pPr>
        <w:pStyle w:val="Observation"/>
      </w:pPr>
      <w:bookmarkStart w:id="0" w:name="_Ref23945880"/>
      <w:bookmarkStart w:id="1" w:name="_Toc24104667"/>
      <w:r w:rsidRPr="001C585A">
        <w:rPr>
          <w:i/>
        </w:rPr>
        <w:t>Q</w:t>
      </w:r>
      <w:r w:rsidRPr="001C585A">
        <w:t xml:space="preserve"> is strictly only needed after </w:t>
      </w:r>
      <w:r>
        <w:t>SIB1</w:t>
      </w:r>
      <w:r w:rsidRPr="001C585A">
        <w:t xml:space="preserve"> has been read</w:t>
      </w:r>
      <w:r>
        <w:t>.</w:t>
      </w:r>
      <w:bookmarkEnd w:id="0"/>
      <w:bookmarkEnd w:id="1"/>
    </w:p>
    <w:p w14:paraId="54556F0E" w14:textId="77777777" w:rsidR="004863C8" w:rsidRDefault="004863C8" w:rsidP="004863C8">
      <w:pPr>
        <w:pStyle w:val="BodyText"/>
      </w:pPr>
      <w:r>
        <w:t>In RAN1#98 the following agreement was made</w:t>
      </w:r>
    </w:p>
    <w:p w14:paraId="6C9247B9" w14:textId="77777777" w:rsidR="004863C8" w:rsidRPr="0027314C" w:rsidRDefault="004863C8" w:rsidP="004863C8">
      <w:pPr>
        <w:spacing w:after="0" w:line="240" w:lineRule="auto"/>
        <w:rPr>
          <w:rFonts w:ascii="Times" w:eastAsia="Batang" w:hAnsi="Times" w:cs="Times New Roman"/>
          <w:sz w:val="20"/>
          <w:szCs w:val="24"/>
          <w:lang w:val="en-GB" w:eastAsia="x-none"/>
        </w:rPr>
      </w:pPr>
      <w:r w:rsidRPr="0027314C">
        <w:rPr>
          <w:rFonts w:ascii="Times" w:eastAsia="Batang" w:hAnsi="Times" w:cs="Times New Roman"/>
          <w:sz w:val="20"/>
          <w:szCs w:val="24"/>
          <w:highlight w:val="green"/>
          <w:lang w:val="en-GB" w:eastAsia="x-none"/>
        </w:rPr>
        <w:t>Agreement:</w:t>
      </w:r>
    </w:p>
    <w:p w14:paraId="42D663AA" w14:textId="77777777" w:rsidR="004863C8" w:rsidRPr="0027314C" w:rsidRDefault="004863C8" w:rsidP="004863C8">
      <w:p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lastRenderedPageBreak/>
        <w:t xml:space="preserve">For RRM measurements of a </w:t>
      </w:r>
      <w:proofErr w:type="spellStart"/>
      <w:r w:rsidRPr="0027314C">
        <w:rPr>
          <w:rFonts w:ascii="Times" w:eastAsia="Batang" w:hAnsi="Times" w:cs="Times New Roman"/>
          <w:sz w:val="20"/>
          <w:szCs w:val="24"/>
          <w:lang w:val="en-GB" w:eastAsia="x-none"/>
        </w:rPr>
        <w:t>neighbor</w:t>
      </w:r>
      <w:proofErr w:type="spellEnd"/>
      <w:r w:rsidRPr="0027314C">
        <w:rPr>
          <w:rFonts w:ascii="Times" w:eastAsia="Batang" w:hAnsi="Times" w:cs="Times New Roman"/>
          <w:sz w:val="20"/>
          <w:szCs w:val="24"/>
          <w:lang w:val="en-GB" w:eastAsia="x-none"/>
        </w:rPr>
        <w:t xml:space="preserve"> cell in IDLE, INACTIVE and CONNECTED UE states,</w:t>
      </w:r>
    </w:p>
    <w:p w14:paraId="35BA5A7C" w14:textId="77777777" w:rsidR="004863C8" w:rsidRPr="0027314C" w:rsidRDefault="004863C8" w:rsidP="004863C8">
      <w:pPr>
        <w:numPr>
          <w:ilvl w:val="0"/>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Support signaling of a common Q value per frequency by broadcast RRC signaling (</w:t>
      </w:r>
      <w:proofErr w:type="spellStart"/>
      <w:r w:rsidRPr="0027314C">
        <w:rPr>
          <w:rFonts w:ascii="Times" w:eastAsia="Batang" w:hAnsi="Times" w:cs="Times New Roman"/>
          <w:sz w:val="20"/>
          <w:szCs w:val="24"/>
          <w:lang w:val="en-GB" w:eastAsia="x-none"/>
        </w:rPr>
        <w:t>SIBx</w:t>
      </w:r>
      <w:proofErr w:type="spellEnd"/>
      <w:r w:rsidRPr="0027314C">
        <w:rPr>
          <w:rFonts w:ascii="Times" w:eastAsia="Batang" w:hAnsi="Times" w:cs="Times New Roman"/>
          <w:sz w:val="20"/>
          <w:szCs w:val="24"/>
          <w:lang w:val="en-GB" w:eastAsia="x-none"/>
        </w:rPr>
        <w:t>) and/or dedicated RRC signaling (</w:t>
      </w:r>
      <w:proofErr w:type="spellStart"/>
      <w:r w:rsidRPr="0027314C">
        <w:rPr>
          <w:rFonts w:ascii="Times" w:eastAsia="Batang" w:hAnsi="Times" w:cs="Times New Roman"/>
          <w:sz w:val="20"/>
          <w:szCs w:val="24"/>
          <w:lang w:val="en-GB" w:eastAsia="x-none"/>
        </w:rPr>
        <w:t>measObjectNR</w:t>
      </w:r>
      <w:proofErr w:type="spellEnd"/>
      <w:r w:rsidRPr="0027314C">
        <w:rPr>
          <w:rFonts w:ascii="Times" w:eastAsia="Batang" w:hAnsi="Times" w:cs="Times New Roman"/>
          <w:sz w:val="20"/>
          <w:szCs w:val="24"/>
          <w:lang w:val="en-GB" w:eastAsia="x-none"/>
        </w:rPr>
        <w:t>) from the serving cell.</w:t>
      </w:r>
    </w:p>
    <w:p w14:paraId="492E05D6" w14:textId="77777777" w:rsidR="004863C8" w:rsidRPr="0027314C" w:rsidRDefault="004863C8" w:rsidP="004863C8">
      <w:pPr>
        <w:numPr>
          <w:ilvl w:val="0"/>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 xml:space="preserve">Support signaling from the serving cell of a Q value for a listed neighbour cell. </w:t>
      </w:r>
    </w:p>
    <w:p w14:paraId="05A2C4D4" w14:textId="77777777" w:rsidR="004863C8" w:rsidRPr="0027314C" w:rsidRDefault="004863C8" w:rsidP="004863C8">
      <w:pPr>
        <w:numPr>
          <w:ilvl w:val="1"/>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 xml:space="preserve">If Q is </w:t>
      </w:r>
      <w:proofErr w:type="spellStart"/>
      <w:r w:rsidRPr="0027314C">
        <w:rPr>
          <w:rFonts w:ascii="Times" w:eastAsia="Batang" w:hAnsi="Times" w:cs="Times New Roman"/>
          <w:sz w:val="20"/>
          <w:szCs w:val="24"/>
          <w:lang w:val="en-GB" w:eastAsia="x-none"/>
        </w:rPr>
        <w:t>signaled</w:t>
      </w:r>
      <w:proofErr w:type="spellEnd"/>
      <w:r w:rsidRPr="0027314C">
        <w:rPr>
          <w:rFonts w:ascii="Times" w:eastAsia="Batang" w:hAnsi="Times" w:cs="Times New Roman"/>
          <w:sz w:val="20"/>
          <w:szCs w:val="24"/>
          <w:lang w:val="en-GB" w:eastAsia="x-none"/>
        </w:rPr>
        <w:t xml:space="preserve"> for a listed cell, it overrides any common Q value per frequency  </w:t>
      </w:r>
    </w:p>
    <w:p w14:paraId="4312F7DF" w14:textId="77777777" w:rsidR="004863C8" w:rsidRPr="00ED20EF" w:rsidRDefault="004863C8" w:rsidP="007D63EE">
      <w:pPr>
        <w:pStyle w:val="BodyText"/>
        <w:rPr>
          <w:lang w:val="en-GB"/>
        </w:rPr>
      </w:pPr>
    </w:p>
    <w:p w14:paraId="0662161B" w14:textId="363E8218" w:rsidR="004863C8" w:rsidRDefault="004863C8" w:rsidP="004863C8">
      <w:pPr>
        <w:pStyle w:val="BodyText"/>
      </w:pPr>
      <w:r>
        <w:t xml:space="preserve">Given this agreement, for the vast majority of uses cases when the UE is required to monitor Type0-PDCCH CSS, Q is in fact known to the UE. This also includes SIB1 reading for cell re-selection (Q signaled in SIB2/4). In addition, for monitoring of e.g. Type0A-PDCCH CSS (other system information) and Type2-PDCCH CSS (paging) when </w:t>
      </w:r>
      <w:proofErr w:type="spellStart"/>
      <w:r>
        <w:t>searchSpaceID</w:t>
      </w:r>
      <w:proofErr w:type="spellEnd"/>
      <w:r>
        <w:t xml:space="preserve">=0 in </w:t>
      </w:r>
      <w:r w:rsidRPr="00C82347">
        <w:rPr>
          <w:i/>
        </w:rPr>
        <w:t>PDCCH-ConfigCommon</w:t>
      </w:r>
      <w:r>
        <w:t xml:space="preserve"> (and the UE thus determines the monitoring occasions as described in Subclause 13 of 38.213) Q is known (from reading SIB or through dedicated signaling). Only for example i</w:t>
      </w:r>
      <w:r w:rsidR="00CB470B">
        <w:t>n</w:t>
      </w:r>
      <w:r>
        <w:t xml:space="preserve"> the case of initial cell selection when no information is available, Q is not known and thus the UE needs to monitor every </w:t>
      </w:r>
      <w:r w:rsidR="006A2251">
        <w:t xml:space="preserve">allowed </w:t>
      </w:r>
      <w:r>
        <w:t xml:space="preserve">monitoring occasion. </w:t>
      </w:r>
    </w:p>
    <w:p w14:paraId="02A11274" w14:textId="3E086734" w:rsidR="005459DE" w:rsidRDefault="005459DE" w:rsidP="00ED20EF">
      <w:pPr>
        <w:pStyle w:val="Observation"/>
      </w:pPr>
      <w:bookmarkStart w:id="2" w:name="_Toc24104668"/>
      <w:r>
        <w:t xml:space="preserve">For </w:t>
      </w:r>
      <w:proofErr w:type="gramStart"/>
      <w:r>
        <w:t>the vast majority of</w:t>
      </w:r>
      <w:proofErr w:type="gramEnd"/>
      <w:r>
        <w:t xml:space="preserve"> use cases, when the UE is required to monitor Type0-PDCCH CSS, Q is known, and thus signaling Q in MIB is not motivate</w:t>
      </w:r>
      <w:r w:rsidR="00B36EF0">
        <w:t>d</w:t>
      </w:r>
      <w:r>
        <w:t>.</w:t>
      </w:r>
      <w:bookmarkEnd w:id="2"/>
    </w:p>
    <w:p w14:paraId="657D1B93" w14:textId="6C25A89B" w:rsidR="001D3C27" w:rsidRDefault="00B36EF0" w:rsidP="007D63EE">
      <w:pPr>
        <w:pStyle w:val="BodyText"/>
      </w:pPr>
      <w:r>
        <w:t>Despite this</w:t>
      </w:r>
      <w:r w:rsidR="004863C8">
        <w:t>, i</w:t>
      </w:r>
      <w:r w:rsidR="001D3C27">
        <w:t>n RAN1#98b the following agreement was made</w:t>
      </w:r>
      <w:r>
        <w:t>.</w:t>
      </w:r>
    </w:p>
    <w:p w14:paraId="356CE27C" w14:textId="77777777" w:rsidR="001D3C27" w:rsidRPr="001D3C27" w:rsidRDefault="001D3C27" w:rsidP="001D3C27">
      <w:pPr>
        <w:spacing w:after="0" w:line="240" w:lineRule="auto"/>
        <w:rPr>
          <w:rFonts w:ascii="Times" w:eastAsia="Batang" w:hAnsi="Times" w:cs="Times New Roman"/>
          <w:sz w:val="20"/>
          <w:szCs w:val="24"/>
          <w:lang w:val="en-GB" w:eastAsia="x-none"/>
        </w:rPr>
      </w:pPr>
      <w:r w:rsidRPr="001D3C27">
        <w:rPr>
          <w:rFonts w:ascii="Times" w:eastAsia="Batang" w:hAnsi="Times" w:cs="Times New Roman"/>
          <w:sz w:val="20"/>
          <w:szCs w:val="24"/>
          <w:highlight w:val="green"/>
          <w:lang w:val="en-GB" w:eastAsia="x-none"/>
        </w:rPr>
        <w:t>Agreement:</w:t>
      </w:r>
    </w:p>
    <w:p w14:paraId="2D3973D5" w14:textId="77777777" w:rsidR="001D3C27" w:rsidRPr="001D3C27" w:rsidRDefault="001D3C27" w:rsidP="001D3C27">
      <w:pPr>
        <w:spacing w:after="0" w:line="240" w:lineRule="auto"/>
        <w:rPr>
          <w:rFonts w:ascii="Times" w:eastAsia="Batang" w:hAnsi="Times" w:cs="Times New Roman"/>
          <w:sz w:val="20"/>
          <w:szCs w:val="24"/>
          <w:lang w:val="en-GB" w:eastAsia="x-none"/>
        </w:rPr>
      </w:pPr>
      <w:r w:rsidRPr="001D3C27">
        <w:rPr>
          <w:rFonts w:ascii="Times" w:eastAsia="Batang" w:hAnsi="Times" w:cs="Times New Roman"/>
          <w:sz w:val="20"/>
          <w:szCs w:val="24"/>
          <w:lang w:val="en-GB" w:eastAsia="x-none"/>
        </w:rPr>
        <w:t>If 2 bits can be found to not be necessary in the current MIB, then Parameter Q is indicated in the MIB by a serving cell. Otherwise, Q is indicated in the RMSI.</w:t>
      </w:r>
    </w:p>
    <w:p w14:paraId="6E0D2138" w14:textId="2D9F2433" w:rsidR="001D3C27" w:rsidRDefault="001D3C27" w:rsidP="007D63EE">
      <w:pPr>
        <w:pStyle w:val="BodyText"/>
      </w:pPr>
    </w:p>
    <w:p w14:paraId="28403EE7" w14:textId="532D5F58" w:rsidR="004863C8" w:rsidRDefault="004863C8" w:rsidP="00DA7336">
      <w:pPr>
        <w:pStyle w:val="BodyText"/>
      </w:pPr>
      <w:r>
        <w:t xml:space="preserve">In the following we will analyze the impact of indicating Q in the MIB. </w:t>
      </w:r>
    </w:p>
    <w:p w14:paraId="1113DB75" w14:textId="090C477C" w:rsidR="00DA7336" w:rsidRDefault="00DA7336" w:rsidP="00DA7336">
      <w:pPr>
        <w:pStyle w:val="BodyText"/>
      </w:pPr>
      <w:r>
        <w:t>In case RAN1 decides to signal Q in the MIB</w:t>
      </w:r>
      <w:r w:rsidR="004812CA">
        <w:t>,</w:t>
      </w:r>
      <w:r>
        <w:t xml:space="preserve"> the </w:t>
      </w:r>
      <w:r w:rsidR="00456598">
        <w:t>proper</w:t>
      </w:r>
      <w:r>
        <w:t xml:space="preserve"> way </w:t>
      </w:r>
      <w:r w:rsidR="00456598">
        <w:t xml:space="preserve">is </w:t>
      </w:r>
      <w:r>
        <w:t xml:space="preserve">to introduce </w:t>
      </w:r>
      <w:r w:rsidR="00456598">
        <w:t>an extension (BCCH-BCH-MessageType2)</w:t>
      </w:r>
      <w:r>
        <w:t xml:space="preserve"> in in the </w:t>
      </w:r>
      <w:r w:rsidR="00CB470B">
        <w:t>CHOICE</w:t>
      </w:r>
      <w:r>
        <w:t xml:space="preserve"> clause </w:t>
      </w:r>
      <w:r w:rsidR="00456598">
        <w:t>defined within</w:t>
      </w:r>
      <w:r>
        <w:t xml:space="preserve"> </w:t>
      </w:r>
      <w:r w:rsidRPr="00785D8B">
        <w:rPr>
          <w:i/>
        </w:rPr>
        <w:t>BCCH-BCH-</w:t>
      </w:r>
      <w:proofErr w:type="spellStart"/>
      <w:r w:rsidRPr="00785D8B">
        <w:rPr>
          <w:i/>
        </w:rPr>
        <w:t>MessageType</w:t>
      </w:r>
      <w:proofErr w:type="spellEnd"/>
      <w:r w:rsidR="004812CA">
        <w:t xml:space="preserve"> IE:</w:t>
      </w:r>
    </w:p>
    <w:p w14:paraId="41D6D791" w14:textId="77777777" w:rsidR="00DA7336" w:rsidRDefault="00DA7336" w:rsidP="00DA7336">
      <w:pPr>
        <w:pStyle w:val="PL"/>
        <w:rPr>
          <w:rFonts w:eastAsia="Times New Roman" w:cs="Courier New"/>
          <w:sz w:val="20"/>
        </w:rPr>
      </w:pPr>
      <w:r>
        <w:t>-- ASN1START</w:t>
      </w:r>
    </w:p>
    <w:p w14:paraId="6A18BB20" w14:textId="77777777" w:rsidR="00DA7336" w:rsidRDefault="00DA7336" w:rsidP="00DA7336">
      <w:pPr>
        <w:pStyle w:val="PL"/>
      </w:pPr>
      <w:r>
        <w:t>-- TAG-BCCH-BCH-MESSAGE-START</w:t>
      </w:r>
    </w:p>
    <w:p w14:paraId="51CFB894" w14:textId="77777777" w:rsidR="00DA7336" w:rsidRDefault="00DA7336" w:rsidP="00DA7336">
      <w:pPr>
        <w:pStyle w:val="PL"/>
      </w:pPr>
    </w:p>
    <w:p w14:paraId="28E8EC92" w14:textId="77777777" w:rsidR="00DA7336" w:rsidRDefault="00DA7336" w:rsidP="00DA7336">
      <w:pPr>
        <w:pStyle w:val="PL"/>
      </w:pPr>
      <w:r>
        <w:t>BCCH-BCH-Message ::=            SEQUENCE {</w:t>
      </w:r>
    </w:p>
    <w:p w14:paraId="0AC8589C" w14:textId="2C66390F" w:rsidR="00DA7336" w:rsidRDefault="00DA7336" w:rsidP="00DA7336">
      <w:pPr>
        <w:pStyle w:val="PL"/>
      </w:pPr>
      <w:r>
        <w:t>    message                         </w:t>
      </w:r>
      <w:hyperlink r:id="rId11" w:anchor="TBCCHBCHMessageType" w:tooltip="&lt;CTRL&gt;-Click to see type definition details" w:history="1">
        <w:r>
          <w:rPr>
            <w:rStyle w:val="Hyperlink"/>
          </w:rPr>
          <w:t>BCCH-BCH-MessageType</w:t>
        </w:r>
      </w:hyperlink>
    </w:p>
    <w:p w14:paraId="42FC1BA8" w14:textId="77777777" w:rsidR="00DA7336" w:rsidRDefault="00DA7336" w:rsidP="00DA7336">
      <w:pPr>
        <w:pStyle w:val="PL"/>
      </w:pPr>
      <w:r>
        <w:t>}</w:t>
      </w:r>
    </w:p>
    <w:p w14:paraId="5CBDE4B4" w14:textId="77777777" w:rsidR="00DA7336" w:rsidRDefault="00DA7336" w:rsidP="00DA7336">
      <w:pPr>
        <w:pStyle w:val="PL"/>
      </w:pPr>
    </w:p>
    <w:p w14:paraId="7BFBC413" w14:textId="77777777" w:rsidR="00DA7336" w:rsidRDefault="00DA7336" w:rsidP="00DA7336">
      <w:pPr>
        <w:pStyle w:val="PL"/>
      </w:pPr>
      <w:r>
        <w:t>BCCH-BCH-MessageType ::=        CHOICE {</w:t>
      </w:r>
    </w:p>
    <w:p w14:paraId="049E0252" w14:textId="68A7D195" w:rsidR="00DA7336" w:rsidRDefault="00DA7336" w:rsidP="00DA7336">
      <w:pPr>
        <w:pStyle w:val="PL"/>
      </w:pPr>
      <w:r>
        <w:t xml:space="preserve">    mib                             </w:t>
      </w:r>
      <w:hyperlink r:id="rId12" w:anchor="TMIB" w:tooltip="&lt;CTRL&gt;-Click to see type definition details" w:history="1">
        <w:r>
          <w:rPr>
            <w:rStyle w:val="Hyperlink"/>
          </w:rPr>
          <w:t>MIB</w:t>
        </w:r>
      </w:hyperlink>
      <w:r>
        <w:t>,</w:t>
      </w:r>
    </w:p>
    <w:p w14:paraId="3CCBA92E" w14:textId="77777777" w:rsidR="00DA7336" w:rsidRDefault="00DA7336" w:rsidP="00DA7336">
      <w:pPr>
        <w:pStyle w:val="PL"/>
      </w:pPr>
      <w:r>
        <w:t xml:space="preserve">    messageClassExtension           </w:t>
      </w:r>
      <w:r>
        <w:rPr>
          <w:strike/>
          <w:color w:val="FF0000"/>
        </w:rPr>
        <w:t>SEQUENCE{}</w:t>
      </w:r>
      <w:r>
        <w:rPr>
          <w:color w:val="FF0000"/>
          <w:u w:val="single"/>
        </w:rPr>
        <w:t>BCCH-BCH-MessageType2</w:t>
      </w:r>
    </w:p>
    <w:p w14:paraId="6C2615B0" w14:textId="77777777" w:rsidR="00DA7336" w:rsidRDefault="00DA7336" w:rsidP="00DA7336">
      <w:pPr>
        <w:pStyle w:val="PL"/>
      </w:pPr>
      <w:r>
        <w:t>}</w:t>
      </w:r>
    </w:p>
    <w:p w14:paraId="0C1AE1D3" w14:textId="77777777" w:rsidR="00DA7336" w:rsidRDefault="00DA7336" w:rsidP="00DA7336">
      <w:pPr>
        <w:pStyle w:val="PL"/>
      </w:pPr>
    </w:p>
    <w:p w14:paraId="7E5609E1" w14:textId="77777777" w:rsidR="00DA7336" w:rsidRDefault="00DA7336" w:rsidP="00DA7336">
      <w:pPr>
        <w:pStyle w:val="PL"/>
        <w:rPr>
          <w:color w:val="FF0000"/>
          <w:u w:val="single"/>
        </w:rPr>
      </w:pPr>
      <w:r>
        <w:rPr>
          <w:color w:val="FF0000"/>
          <w:u w:val="single"/>
        </w:rPr>
        <w:t>BCCH-BCH-MessageType2 ::=       CHOICE {</w:t>
      </w:r>
    </w:p>
    <w:p w14:paraId="45C5FFB7" w14:textId="77777777" w:rsidR="00DA7336" w:rsidRDefault="00DA7336" w:rsidP="00DA7336">
      <w:pPr>
        <w:pStyle w:val="PL"/>
        <w:rPr>
          <w:color w:val="FF0000"/>
          <w:u w:val="single"/>
        </w:rPr>
      </w:pPr>
      <w:r>
        <w:rPr>
          <w:color w:val="FF0000"/>
          <w:u w:val="single"/>
        </w:rPr>
        <w:t>    mib2                            MIB2,</w:t>
      </w:r>
    </w:p>
    <w:p w14:paraId="57EFD670" w14:textId="77777777" w:rsidR="00DA7336" w:rsidRDefault="00DA7336" w:rsidP="00DA7336">
      <w:pPr>
        <w:pStyle w:val="PL"/>
        <w:rPr>
          <w:color w:val="FF0000"/>
          <w:u w:val="single"/>
        </w:rPr>
      </w:pPr>
      <w:r>
        <w:rPr>
          <w:color w:val="FF0000"/>
          <w:u w:val="single"/>
        </w:rPr>
        <w:t>    messageClassExtension           SEQUENCE{}</w:t>
      </w:r>
    </w:p>
    <w:p w14:paraId="2702610E" w14:textId="77777777" w:rsidR="00DA7336" w:rsidRDefault="00DA7336" w:rsidP="00DA7336">
      <w:pPr>
        <w:pStyle w:val="PL"/>
      </w:pPr>
      <w:r>
        <w:rPr>
          <w:color w:val="FF0000"/>
          <w:u w:val="single"/>
        </w:rPr>
        <w:t>}</w:t>
      </w:r>
    </w:p>
    <w:p w14:paraId="21520BD0" w14:textId="77777777" w:rsidR="00DA7336" w:rsidRDefault="00DA7336" w:rsidP="00DA7336">
      <w:pPr>
        <w:pStyle w:val="PL"/>
      </w:pPr>
    </w:p>
    <w:p w14:paraId="639BE71A" w14:textId="77777777" w:rsidR="00DA7336" w:rsidRDefault="00DA7336" w:rsidP="00DA7336">
      <w:pPr>
        <w:pStyle w:val="PL"/>
      </w:pPr>
      <w:r>
        <w:t>-- TAG-BCCH-BCH-MESSAGE-STOP</w:t>
      </w:r>
    </w:p>
    <w:p w14:paraId="6EFDC7A7" w14:textId="77777777" w:rsidR="00DA7336" w:rsidRDefault="00DA7336" w:rsidP="00DA7336">
      <w:pPr>
        <w:pStyle w:val="PL"/>
      </w:pPr>
      <w:r>
        <w:t>-- ASN1STOP</w:t>
      </w:r>
    </w:p>
    <w:p w14:paraId="18E15180" w14:textId="77777777" w:rsidR="00DA7336" w:rsidRDefault="00DA7336" w:rsidP="00DA7336">
      <w:pPr>
        <w:pStyle w:val="BodyText"/>
      </w:pPr>
      <w:r>
        <w:t xml:space="preserve"> </w:t>
      </w:r>
    </w:p>
    <w:p w14:paraId="67D9CD31" w14:textId="6B2951D6" w:rsidR="00456598" w:rsidRDefault="00456598" w:rsidP="007D63EE">
      <w:pPr>
        <w:pStyle w:val="BodyText"/>
      </w:pPr>
      <w:r>
        <w:t xml:space="preserve">To allow </w:t>
      </w:r>
      <w:r w:rsidR="004812CA">
        <w:t xml:space="preserve">a </w:t>
      </w:r>
      <w:r>
        <w:t>future extension</w:t>
      </w:r>
      <w:r w:rsidR="004812CA">
        <w:t xml:space="preserve"> in case yet another new MIB is needed</w:t>
      </w:r>
      <w:r w:rsidR="00B36EF0">
        <w:t xml:space="preserve"> in a later release</w:t>
      </w:r>
      <w:r>
        <w:t>, a 2</w:t>
      </w:r>
      <w:r w:rsidRPr="00ED20EF">
        <w:rPr>
          <w:vertAlign w:val="superscript"/>
        </w:rPr>
        <w:t>nd</w:t>
      </w:r>
      <w:r>
        <w:t xml:space="preserve"> hierarchy of choice </w:t>
      </w:r>
      <w:r w:rsidR="004812CA">
        <w:t>needs</w:t>
      </w:r>
      <w:r>
        <w:t xml:space="preserve"> be added within </w:t>
      </w:r>
      <w:r w:rsidRPr="00785D8B">
        <w:rPr>
          <w:i/>
        </w:rPr>
        <w:t>BCCH-BCH-MessageType</w:t>
      </w:r>
      <w:r>
        <w:rPr>
          <w:i/>
        </w:rPr>
        <w:t>2</w:t>
      </w:r>
      <w:r>
        <w:t xml:space="preserve"> which contains the new MIB (MIB2) </w:t>
      </w:r>
      <w:r w:rsidR="004812CA">
        <w:t>as well as</w:t>
      </w:r>
      <w:r>
        <w:t xml:space="preserve"> a placeholder </w:t>
      </w:r>
      <w:r w:rsidR="004812CA">
        <w:t xml:space="preserve">(empty sequence) for the future extension, e.g., introduction of a </w:t>
      </w:r>
      <w:r w:rsidR="00B36EF0">
        <w:t xml:space="preserve">future </w:t>
      </w:r>
      <w:r w:rsidR="004812CA">
        <w:t>MIB3.</w:t>
      </w:r>
    </w:p>
    <w:p w14:paraId="42C35D8F" w14:textId="1C25A54D" w:rsidR="004812CA" w:rsidRDefault="004812CA" w:rsidP="007D63EE">
      <w:pPr>
        <w:pStyle w:val="BodyText"/>
      </w:pPr>
      <w:r>
        <w:t>The unavoidable price to be paid for forward compatibility is that the addition of the 2</w:t>
      </w:r>
      <w:r w:rsidRPr="00ED20EF">
        <w:rPr>
          <w:vertAlign w:val="superscript"/>
        </w:rPr>
        <w:t>nd</w:t>
      </w:r>
      <w:r>
        <w:t xml:space="preserve"> hierarchy of choice requires an extra bit in ASN.1. Hence, not only 2 bits need to be found in order to include Q in MIB2, but in fact 3 bits need to be found.</w:t>
      </w:r>
    </w:p>
    <w:p w14:paraId="47BB2AEE" w14:textId="5CE0EAF5" w:rsidR="004812CA" w:rsidRPr="005459DE" w:rsidRDefault="004812CA" w:rsidP="00ED20EF">
      <w:pPr>
        <w:pStyle w:val="Observation"/>
      </w:pPr>
      <w:bookmarkStart w:id="3" w:name="_Toc24104669"/>
      <w:r>
        <w:t xml:space="preserve">In order to define a new MIB to carry the parameter Q, 3 bits </w:t>
      </w:r>
      <w:r w:rsidR="00B36EF0">
        <w:t xml:space="preserve">(not 2) </w:t>
      </w:r>
      <w:r>
        <w:t>must be found to be not necessary in the current MIB</w:t>
      </w:r>
      <w:r w:rsidR="0016617A">
        <w:t>.</w:t>
      </w:r>
      <w:bookmarkEnd w:id="3"/>
    </w:p>
    <w:p w14:paraId="02CEB90C" w14:textId="59B1DBFA" w:rsidR="0016617A" w:rsidRDefault="0016617A" w:rsidP="00D225F1">
      <w:pPr>
        <w:pStyle w:val="BodyText"/>
      </w:pPr>
      <w:r>
        <w:t>The current MIB contains the following fields:</w:t>
      </w:r>
    </w:p>
    <w:p w14:paraId="048DD25E" w14:textId="77777777" w:rsidR="0016617A" w:rsidRPr="0096519C" w:rsidRDefault="0016617A" w:rsidP="0016617A">
      <w:pPr>
        <w:pStyle w:val="PL"/>
      </w:pPr>
      <w:r w:rsidRPr="0096519C">
        <w:lastRenderedPageBreak/>
        <w:t xml:space="preserve">MIB ::=                             </w:t>
      </w:r>
      <w:r w:rsidRPr="0096519C">
        <w:rPr>
          <w:color w:val="993366"/>
        </w:rPr>
        <w:t>SEQUENCE</w:t>
      </w:r>
      <w:r w:rsidRPr="0096519C">
        <w:t xml:space="preserve"> {</w:t>
      </w:r>
    </w:p>
    <w:p w14:paraId="4FCC150C" w14:textId="77777777" w:rsidR="0016617A" w:rsidRPr="0096519C" w:rsidRDefault="0016617A" w:rsidP="0016617A">
      <w:pPr>
        <w:pStyle w:val="PL"/>
      </w:pPr>
      <w:r w:rsidRPr="0096519C">
        <w:t xml:space="preserve">    systemFrameNumber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w:t>
      </w:r>
    </w:p>
    <w:p w14:paraId="63505056" w14:textId="77777777" w:rsidR="0016617A" w:rsidRPr="0096519C" w:rsidRDefault="0016617A" w:rsidP="0016617A">
      <w:pPr>
        <w:pStyle w:val="PL"/>
      </w:pPr>
      <w:r w:rsidRPr="0096519C">
        <w:t xml:space="preserve">    subCarrierSpacingCommon             </w:t>
      </w:r>
      <w:r w:rsidRPr="0096519C">
        <w:rPr>
          <w:color w:val="993366"/>
        </w:rPr>
        <w:t>ENUMERATED</w:t>
      </w:r>
      <w:r w:rsidRPr="0096519C">
        <w:t xml:space="preserve"> {scs15or60, scs30or120},</w:t>
      </w:r>
    </w:p>
    <w:p w14:paraId="1B26F16D" w14:textId="77777777" w:rsidR="0016617A" w:rsidRPr="0096519C" w:rsidRDefault="0016617A" w:rsidP="0016617A">
      <w:pPr>
        <w:pStyle w:val="PL"/>
      </w:pPr>
      <w:r w:rsidRPr="0096519C">
        <w:t xml:space="preserve">    ssb-SubcarrierOffset                </w:t>
      </w:r>
      <w:r w:rsidRPr="0096519C">
        <w:rPr>
          <w:color w:val="993366"/>
        </w:rPr>
        <w:t>INTEGER</w:t>
      </w:r>
      <w:r w:rsidRPr="0096519C">
        <w:t xml:space="preserve"> (0..15),</w:t>
      </w:r>
    </w:p>
    <w:p w14:paraId="40089194" w14:textId="77777777" w:rsidR="0016617A" w:rsidRPr="0096519C" w:rsidRDefault="0016617A" w:rsidP="0016617A">
      <w:pPr>
        <w:pStyle w:val="PL"/>
      </w:pPr>
      <w:r w:rsidRPr="0096519C">
        <w:t xml:space="preserve">    dmrs-TypeA-Position                 </w:t>
      </w:r>
      <w:r w:rsidRPr="0096519C">
        <w:rPr>
          <w:color w:val="993366"/>
        </w:rPr>
        <w:t>ENUMERATED</w:t>
      </w:r>
      <w:r w:rsidRPr="0096519C">
        <w:t xml:space="preserve"> {pos2, pos3},</w:t>
      </w:r>
    </w:p>
    <w:p w14:paraId="23C5B056" w14:textId="77777777" w:rsidR="0016617A" w:rsidRPr="0096519C" w:rsidRDefault="0016617A" w:rsidP="0016617A">
      <w:pPr>
        <w:pStyle w:val="PL"/>
      </w:pPr>
      <w:r w:rsidRPr="0096519C">
        <w:t xml:space="preserve">    pdcch-ConfigSIB1                    PDCCH-ConfigSIB1,</w:t>
      </w:r>
    </w:p>
    <w:p w14:paraId="720A9759" w14:textId="77777777" w:rsidR="0016617A" w:rsidRPr="0096519C" w:rsidRDefault="0016617A" w:rsidP="0016617A">
      <w:pPr>
        <w:pStyle w:val="PL"/>
      </w:pPr>
      <w:r w:rsidRPr="0096519C">
        <w:t xml:space="preserve">    cellBarred                          </w:t>
      </w:r>
      <w:r w:rsidRPr="0096519C">
        <w:rPr>
          <w:color w:val="993366"/>
        </w:rPr>
        <w:t>ENUMERATED</w:t>
      </w:r>
      <w:r w:rsidRPr="0096519C">
        <w:t xml:space="preserve"> {barred, notBarred},</w:t>
      </w:r>
    </w:p>
    <w:p w14:paraId="1B5D35CF" w14:textId="77777777" w:rsidR="0016617A" w:rsidRPr="0096519C" w:rsidRDefault="0016617A" w:rsidP="0016617A">
      <w:pPr>
        <w:pStyle w:val="PL"/>
      </w:pPr>
      <w:r w:rsidRPr="0096519C">
        <w:t xml:space="preserve">    intraFreqReselection                </w:t>
      </w:r>
      <w:r w:rsidRPr="0096519C">
        <w:rPr>
          <w:color w:val="993366"/>
        </w:rPr>
        <w:t>ENUMERATED</w:t>
      </w:r>
      <w:r w:rsidRPr="0096519C">
        <w:t xml:space="preserve"> {allowed, notAllowed},</w:t>
      </w:r>
    </w:p>
    <w:p w14:paraId="61E5FF11" w14:textId="77777777" w:rsidR="0016617A" w:rsidRPr="0096519C" w:rsidRDefault="0016617A" w:rsidP="0016617A">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4F772A35" w14:textId="77777777" w:rsidR="0016617A" w:rsidRPr="0096519C" w:rsidRDefault="0016617A" w:rsidP="0016617A">
      <w:pPr>
        <w:pStyle w:val="PL"/>
      </w:pPr>
      <w:r w:rsidRPr="0096519C">
        <w:t>}</w:t>
      </w:r>
    </w:p>
    <w:p w14:paraId="5152E307" w14:textId="297DEB01" w:rsidR="0016617A" w:rsidRDefault="0016617A" w:rsidP="00D225F1">
      <w:pPr>
        <w:pStyle w:val="BodyText"/>
      </w:pPr>
    </w:p>
    <w:p w14:paraId="5EAD5C81" w14:textId="0A88912F" w:rsidR="0016617A" w:rsidRDefault="0016617A" w:rsidP="00D225F1">
      <w:pPr>
        <w:pStyle w:val="BodyText"/>
      </w:pPr>
      <w:r>
        <w:t xml:space="preserve">In Rel-15, the parameter </w:t>
      </w:r>
      <w:r w:rsidRPr="00ED20EF">
        <w:rPr>
          <w:i/>
        </w:rPr>
        <w:t>pdcch-ConfigSIB1</w:t>
      </w:r>
      <w:r>
        <w:t xml:space="preserve"> is 8 bits, and we propose not to change that. 4 of these bits are used to index a row in the length-16 Table 13-11 in 38.213 which indicates the Type0-PDCCH monitoring occasions, and the other 4 bits </w:t>
      </w:r>
      <w:r w:rsidR="001D1AE6">
        <w:t xml:space="preserve">currently </w:t>
      </w:r>
      <w:r>
        <w:t>index a row in the length-16 Table 13-4 in 38.213 which indicates the CORESET0 configuration.</w:t>
      </w:r>
    </w:p>
    <w:p w14:paraId="79DAA546" w14:textId="0D5A9C93" w:rsidR="001D1AE6" w:rsidRDefault="001D1AE6" w:rsidP="00D225F1">
      <w:pPr>
        <w:pStyle w:val="BodyText"/>
      </w:pPr>
      <w:r>
        <w:t xml:space="preserve">As discussed below, there are deployments where </w:t>
      </w:r>
      <w:r w:rsidRPr="007009C5">
        <w:t>channel access is not a major problem and LBT failure is infrequent</w:t>
      </w:r>
      <w:r>
        <w:t xml:space="preserve">. For those cases, </w:t>
      </w:r>
      <w:r>
        <w:rPr>
          <w:rFonts w:cs="Arial"/>
        </w:rPr>
        <w:t xml:space="preserve">multiple values in </w:t>
      </w:r>
      <w:r w:rsidRPr="00E82009">
        <w:rPr>
          <w:rFonts w:cs="Arial"/>
        </w:rPr>
        <w:t>Table 13-11 in 38.213</w:t>
      </w:r>
      <w:r>
        <w:rPr>
          <w:rFonts w:cs="Arial"/>
        </w:rPr>
        <w:t xml:space="preserve"> are useful. Which one to select depends on the deployment, for example number of SS/PBCH blocks, RMSI payload, selected half frame, DRS failure rate, etc. From our analysis, we do not see any need for adding any new options</w:t>
      </w:r>
      <w:r w:rsidR="00536C39">
        <w:rPr>
          <w:rFonts w:cs="Arial"/>
        </w:rPr>
        <w:t>; the current table already includes values useful for scenarios where channel access is challenging</w:t>
      </w:r>
      <w:r>
        <w:rPr>
          <w:rFonts w:cs="Arial"/>
        </w:rPr>
        <w:t>. At the same time, as for other features in NR-U</w:t>
      </w:r>
      <w:r w:rsidR="00536C39">
        <w:rPr>
          <w:rFonts w:cs="Arial"/>
        </w:rPr>
        <w:t>,</w:t>
      </w:r>
      <w:r>
        <w:rPr>
          <w:rFonts w:cs="Arial"/>
        </w:rPr>
        <w:t xml:space="preserve"> we also do not want to preclude Rel-15 functionality. </w:t>
      </w:r>
      <w:r w:rsidR="00CA469D">
        <w:rPr>
          <w:rFonts w:cs="Arial"/>
        </w:rPr>
        <w:t>H</w:t>
      </w:r>
      <w:r>
        <w:rPr>
          <w:rFonts w:cs="Arial"/>
        </w:rPr>
        <w:t>ence keeping all entries is judged to be important</w:t>
      </w:r>
      <w:r w:rsidR="00CA469D">
        <w:rPr>
          <w:rFonts w:cs="Arial"/>
        </w:rPr>
        <w:t>, also from a forward compatibility point of view</w:t>
      </w:r>
      <w:r>
        <w:rPr>
          <w:rFonts w:cs="Arial"/>
        </w:rPr>
        <w:t>. To summarize, there is no need to make any changes to the existing entries or the size of Table 13-11.</w:t>
      </w:r>
    </w:p>
    <w:p w14:paraId="5C4E5F70" w14:textId="230498AB" w:rsidR="0016617A" w:rsidRDefault="0016617A" w:rsidP="00D225F1">
      <w:pPr>
        <w:pStyle w:val="BodyText"/>
      </w:pPr>
      <w:r>
        <w:t xml:space="preserve">Regarding the CORESET0 configuration in Table 13-4 in 38.213, </w:t>
      </w:r>
      <w:r w:rsidR="00E05C0F">
        <w:t xml:space="preserve">we acknowledge that a new table is required for operation with shared spectrum channel access in Band 46 since new values of the SSB-CORSET0 offsets are needed according to RAN4 agreements on the sync raster positions within a carrier. In </w:t>
      </w:r>
      <w:r w:rsidR="00072916">
        <w:fldChar w:fldCharType="begin"/>
      </w:r>
      <w:r w:rsidR="00072916">
        <w:instrText xml:space="preserve"> REF _Ref23158702 \r \h </w:instrText>
      </w:r>
      <w:r w:rsidR="00072916">
        <w:fldChar w:fldCharType="separate"/>
      </w:r>
      <w:r w:rsidR="009200D5">
        <w:t>[9]</w:t>
      </w:r>
      <w:r w:rsidR="00072916">
        <w:fldChar w:fldCharType="end"/>
      </w:r>
      <w:r w:rsidR="00E05C0F">
        <w:t xml:space="preserve"> we show what such a new table will look like. However, </w:t>
      </w:r>
      <w:r>
        <w:t xml:space="preserve">we </w:t>
      </w:r>
      <w:r w:rsidR="00E05C0F">
        <w:t xml:space="preserve">also </w:t>
      </w:r>
      <w:r w:rsidR="00CA469D">
        <w:t>discuss</w:t>
      </w:r>
      <w:r>
        <w:t xml:space="preserve"> in </w:t>
      </w:r>
      <w:r w:rsidR="00072916">
        <w:fldChar w:fldCharType="begin"/>
      </w:r>
      <w:r w:rsidR="00072916">
        <w:instrText xml:space="preserve"> REF _Ref23158702 \r \h </w:instrText>
      </w:r>
      <w:r w:rsidR="00072916">
        <w:fldChar w:fldCharType="separate"/>
      </w:r>
      <w:r w:rsidR="009200D5">
        <w:t>[9]</w:t>
      </w:r>
      <w:r w:rsidR="00072916">
        <w:fldChar w:fldCharType="end"/>
      </w:r>
      <w:r>
        <w:t xml:space="preserve"> that to </w:t>
      </w:r>
      <w:r w:rsidR="00E05C0F">
        <w:t xml:space="preserve">enable </w:t>
      </w:r>
      <w:r>
        <w:t xml:space="preserve">release independent </w:t>
      </w:r>
      <w:r w:rsidR="00E05C0F">
        <w:t xml:space="preserve">addition of new bands (6 GHz is the obvious candidate), the number of bits used to index the CORESET0 configuration table should not be changed; it should be maintained as 4. This will allow a new length-16 table to be defined for the 6 GHz band, </w:t>
      </w:r>
      <w:r w:rsidR="00CA469D">
        <w:t>without introducing yet another new MIB</w:t>
      </w:r>
      <w:r w:rsidR="00E05C0F">
        <w:t xml:space="preserve"> in case new/different values of SSB-CORESET0 offsets will be needed</w:t>
      </w:r>
      <w:r w:rsidR="00E372C6">
        <w:t xml:space="preserve"> </w:t>
      </w:r>
      <w:r w:rsidR="00CA469D">
        <w:t xml:space="preserve">for that band </w:t>
      </w:r>
      <w:r w:rsidR="00E372C6">
        <w:t>once regulations are settled for that band.</w:t>
      </w:r>
    </w:p>
    <w:p w14:paraId="43556D5D" w14:textId="7811CEEB" w:rsidR="00E05C0F" w:rsidRDefault="00E05C0F" w:rsidP="00ED20EF">
      <w:pPr>
        <w:pStyle w:val="Proposal"/>
      </w:pPr>
      <w:bookmarkStart w:id="4" w:name="_Toc24104644"/>
      <w:r>
        <w:t xml:space="preserve">In order not to limit deployment scenarios and to enable release-independent addition of new bands (6 GHz), the number of bits in the parameter </w:t>
      </w:r>
      <w:r w:rsidRPr="00ED20EF">
        <w:rPr>
          <w:i/>
        </w:rPr>
        <w:t>pdcch-ConfigSIB1</w:t>
      </w:r>
      <w:r>
        <w:t xml:space="preserve"> in MIB should not be changed from its current value of 8</w:t>
      </w:r>
      <w:r w:rsidR="00E372C6">
        <w:t>.</w:t>
      </w:r>
      <w:bookmarkEnd w:id="4"/>
    </w:p>
    <w:p w14:paraId="67758394" w14:textId="7FCAA5CD" w:rsidR="00E372C6" w:rsidRDefault="00E372C6" w:rsidP="007D63EE">
      <w:pPr>
        <w:pStyle w:val="BodyText"/>
      </w:pPr>
      <w:r>
        <w:t xml:space="preserve">The only other possibilities for finding potentially unnecessary bits are the parameters </w:t>
      </w:r>
      <w:proofErr w:type="spellStart"/>
      <w:r w:rsidRPr="001C2AA5">
        <w:rPr>
          <w:bCs/>
          <w:i/>
        </w:rPr>
        <w:t>subCarrierSpacingCommon</w:t>
      </w:r>
      <w:proofErr w:type="spellEnd"/>
      <w:r>
        <w:t xml:space="preserve"> and </w:t>
      </w:r>
      <w:r w:rsidRPr="001C2AA5">
        <w:rPr>
          <w:bCs/>
          <w:i/>
        </w:rPr>
        <w:t>spare</w:t>
      </w:r>
      <w:r>
        <w:t xml:space="preserve"> (2 bits in total). </w:t>
      </w:r>
      <w:r w:rsidR="00CA469D">
        <w:t>Strictly speaking, t</w:t>
      </w:r>
      <w:r>
        <w:t xml:space="preserve">he former is not necessary for the 5 GHz band, since the UE always assumes same SCS for SIB1 and SS/PBCH (30 kHz) for initial access. </w:t>
      </w:r>
      <w:r w:rsidR="00CA469D">
        <w:t xml:space="preserve">One option is to leave </w:t>
      </w:r>
      <w:r>
        <w:t xml:space="preserve">this bit </w:t>
      </w:r>
      <w:proofErr w:type="gramStart"/>
      <w:r w:rsidR="00CA469D">
        <w:t>there, but</w:t>
      </w:r>
      <w:proofErr w:type="gramEnd"/>
      <w:r w:rsidR="00CA469D">
        <w:t xml:space="preserve"> restrict what value it can indicate</w:t>
      </w:r>
      <w:r>
        <w:t xml:space="preserve"> for </w:t>
      </w:r>
      <w:r w:rsidR="00CA469D">
        <w:t xml:space="preserve">Band n46 (i.e., always 30 kHz). Then, for a new band, if it is needed to signal different SCS, this bit can be used for that purpose. Again, this is another way to enable release independent introduction of </w:t>
      </w:r>
      <w:r>
        <w:t>new bands.</w:t>
      </w:r>
    </w:p>
    <w:p w14:paraId="666969EB" w14:textId="5F102AE6" w:rsidR="00E372C6" w:rsidRDefault="00CA469D" w:rsidP="007D63EE">
      <w:pPr>
        <w:pStyle w:val="BodyText"/>
      </w:pPr>
      <w:r>
        <w:t>Considering forward compatibility</w:t>
      </w:r>
      <w:r w:rsidR="00E372C6">
        <w:t>, it is difficult (</w:t>
      </w:r>
      <w:r>
        <w:t xml:space="preserve">if not </w:t>
      </w:r>
      <w:r w:rsidR="00E372C6">
        <w:t xml:space="preserve">impossible) to find 3 bits in the existing MIB for which to signal Q. Moreover, every time a new MIB is added, 1 </w:t>
      </w:r>
      <w:r>
        <w:t>less</w:t>
      </w:r>
      <w:r w:rsidR="00E372C6">
        <w:t xml:space="preserve"> bi</w:t>
      </w:r>
      <w:r>
        <w:t>t</w:t>
      </w:r>
      <w:r w:rsidR="00E372C6">
        <w:t xml:space="preserve"> is available for the new MIB. Hence, introduction of a new MIB should only be done if </w:t>
      </w:r>
      <w:proofErr w:type="gramStart"/>
      <w:r w:rsidR="00E372C6">
        <w:t>absolutely necessary</w:t>
      </w:r>
      <w:proofErr w:type="gramEnd"/>
      <w:r w:rsidR="00E372C6">
        <w:t>.</w:t>
      </w:r>
    </w:p>
    <w:p w14:paraId="4F627E94" w14:textId="40EB3926" w:rsidR="001354F0" w:rsidRDefault="00072916" w:rsidP="004863C8">
      <w:pPr>
        <w:pStyle w:val="BodyText"/>
      </w:pPr>
      <w:r>
        <w:t>Based on the above arguments, we</w:t>
      </w:r>
      <w:r w:rsidR="001354F0">
        <w:t xml:space="preserve"> make the following assessment. Introducing a new MIB (apart from specification and implementation efforts) has the following issues</w:t>
      </w:r>
    </w:p>
    <w:p w14:paraId="221456A2" w14:textId="0E9EE2E6" w:rsidR="001354F0" w:rsidRDefault="001354F0" w:rsidP="001354F0">
      <w:pPr>
        <w:pStyle w:val="BodyText"/>
        <w:numPr>
          <w:ilvl w:val="0"/>
          <w:numId w:val="54"/>
        </w:numPr>
      </w:pPr>
      <w:r>
        <w:t>The case it solves is not essential and is not a major energy consumer for the UE</w:t>
      </w:r>
    </w:p>
    <w:p w14:paraId="54E83B92" w14:textId="08226E7B" w:rsidR="001354F0" w:rsidRDefault="00092F1E" w:rsidP="001354F0">
      <w:pPr>
        <w:pStyle w:val="BodyText"/>
        <w:numPr>
          <w:ilvl w:val="0"/>
          <w:numId w:val="54"/>
        </w:numPr>
      </w:pPr>
      <w:r>
        <w:t>Freeing up bits</w:t>
      </w:r>
      <w:r w:rsidR="001354F0">
        <w:t xml:space="preserve">, </w:t>
      </w:r>
      <w:r>
        <w:t>jeopardizes</w:t>
      </w:r>
      <w:r w:rsidR="001354F0">
        <w:t xml:space="preserve"> forward compatibility</w:t>
      </w:r>
      <w:r>
        <w:t>,</w:t>
      </w:r>
      <w:r w:rsidR="001354F0">
        <w:t xml:space="preserve"> potentially </w:t>
      </w:r>
      <w:r>
        <w:t xml:space="preserve">complicating </w:t>
      </w:r>
      <w:r w:rsidR="001354F0">
        <w:t>introduc</w:t>
      </w:r>
      <w:r>
        <w:t xml:space="preserve">tion of </w:t>
      </w:r>
      <w:r w:rsidR="001354F0">
        <w:t xml:space="preserve">the 6 GHz band </w:t>
      </w:r>
    </w:p>
    <w:p w14:paraId="106567DC" w14:textId="6206BD0C" w:rsidR="001354F0" w:rsidRDefault="001354F0" w:rsidP="00ED20EF">
      <w:pPr>
        <w:pStyle w:val="BodyText"/>
        <w:numPr>
          <w:ilvl w:val="0"/>
          <w:numId w:val="54"/>
        </w:numPr>
      </w:pPr>
      <w:r>
        <w:lastRenderedPageBreak/>
        <w:t>It changes core functionality of Rel-15</w:t>
      </w:r>
    </w:p>
    <w:p w14:paraId="0AD0DD34" w14:textId="6739ED53" w:rsidR="004863C8" w:rsidRDefault="001354F0" w:rsidP="004863C8">
      <w:pPr>
        <w:pStyle w:val="BodyText"/>
      </w:pPr>
      <w:r>
        <w:t xml:space="preserve">Thus, </w:t>
      </w:r>
      <w:r w:rsidR="004863C8">
        <w:t xml:space="preserve">introducing a new MIB for NR-U just to cover </w:t>
      </w:r>
      <w:r>
        <w:t>the</w:t>
      </w:r>
      <w:r w:rsidR="004863C8">
        <w:t xml:space="preserve"> case of SIB1 reading for the first time</w:t>
      </w:r>
      <w:r>
        <w:t xml:space="preserve"> </w:t>
      </w:r>
      <w:r w:rsidR="004863C8">
        <w:t>does not seem well-motivated.</w:t>
      </w:r>
      <w:r>
        <w:t xml:space="preserve"> Thus, we make the following proposal:</w:t>
      </w:r>
    </w:p>
    <w:p w14:paraId="54DBA717" w14:textId="12427084" w:rsidR="001D3C27" w:rsidRPr="001C585A" w:rsidRDefault="001D3C27" w:rsidP="007D63EE">
      <w:pPr>
        <w:pStyle w:val="BodyText"/>
      </w:pPr>
    </w:p>
    <w:p w14:paraId="2CC7F0AB" w14:textId="4C01536A" w:rsidR="007D63EE" w:rsidRPr="001C585A" w:rsidRDefault="007D63EE" w:rsidP="007D63EE">
      <w:pPr>
        <w:pStyle w:val="Proposal"/>
      </w:pPr>
      <w:bookmarkStart w:id="5" w:name="_Toc24104645"/>
      <w:r w:rsidRPr="001C585A">
        <w:t xml:space="preserve">Support signaling of </w:t>
      </w:r>
      <w:r w:rsidRPr="001C585A">
        <w:rPr>
          <w:i/>
        </w:rPr>
        <w:t>Q</w:t>
      </w:r>
      <w:r w:rsidRPr="001C585A">
        <w:t xml:space="preserve"> for the serving cell in SIB1</w:t>
      </w:r>
      <w:r w:rsidR="00064C93">
        <w:t xml:space="preserve"> (</w:t>
      </w:r>
      <w:r w:rsidR="00064C93">
        <w:rPr>
          <w:i/>
          <w:iCs/>
          <w:sz w:val="23"/>
          <w:szCs w:val="23"/>
        </w:rPr>
        <w:t>ServingCellConfigCommonSIB</w:t>
      </w:r>
      <w:r w:rsidR="00064C93">
        <w:t>)</w:t>
      </w:r>
      <w:r w:rsidRPr="001C585A">
        <w:t>.</w:t>
      </w:r>
      <w:bookmarkEnd w:id="5"/>
    </w:p>
    <w:p w14:paraId="40F3EC80" w14:textId="77777777" w:rsidR="00F97D9E" w:rsidRPr="001C585A" w:rsidRDefault="00F97D9E" w:rsidP="00CB5824">
      <w:pPr>
        <w:pStyle w:val="BodyText"/>
      </w:pPr>
    </w:p>
    <w:p w14:paraId="72D857D6" w14:textId="17F7B0CE" w:rsidR="002B6F5F" w:rsidRPr="00501C20" w:rsidRDefault="00FA3FFF" w:rsidP="00EE2C34">
      <w:pPr>
        <w:pStyle w:val="BodyText"/>
        <w:rPr>
          <w:b/>
        </w:rPr>
      </w:pPr>
      <w:r>
        <w:rPr>
          <w:b/>
        </w:rPr>
        <w:t>D</w:t>
      </w:r>
      <w:r w:rsidR="00A256DE" w:rsidRPr="00501C20">
        <w:rPr>
          <w:b/>
        </w:rPr>
        <w:t>edicated signaling</w:t>
      </w:r>
    </w:p>
    <w:p w14:paraId="4C4144AD" w14:textId="51D2CC2A" w:rsidR="00A256DE" w:rsidRDefault="00A256DE" w:rsidP="00EE2C34">
      <w:pPr>
        <w:pStyle w:val="BodyText"/>
        <w:rPr>
          <w:iCs/>
        </w:rPr>
      </w:pPr>
      <w:r>
        <w:t xml:space="preserve">In many cases a serving cell is added using dedicated signaling, e.g. </w:t>
      </w:r>
      <w:r w:rsidR="00F80BE4" w:rsidRPr="00F80BE4">
        <w:t>when configuring a UE with SCells or with an additional cell group (SCG)</w:t>
      </w:r>
      <w:r w:rsidR="00F80BE4">
        <w:t xml:space="preserve"> or </w:t>
      </w:r>
      <w:r w:rsidR="00F80BE4" w:rsidRPr="00F80BE4">
        <w:t xml:space="preserve">for </w:t>
      </w:r>
      <w:proofErr w:type="spellStart"/>
      <w:r w:rsidR="00F80BE4" w:rsidRPr="00F80BE4">
        <w:t>SpCells</w:t>
      </w:r>
      <w:proofErr w:type="spellEnd"/>
      <w:r w:rsidR="00F80BE4" w:rsidRPr="00F80BE4">
        <w:t xml:space="preserve"> (MCG and SCG) upon reconfiguration with sync</w:t>
      </w:r>
      <w:r w:rsidR="00501C20">
        <w:t>.</w:t>
      </w:r>
      <w:r w:rsidR="007E7D4A">
        <w:t xml:space="preserve"> For those </w:t>
      </w:r>
      <w:r w:rsidR="007E7D4A" w:rsidRPr="00F131CC">
        <w:t xml:space="preserve">cases </w:t>
      </w:r>
      <w:r w:rsidR="00F131CC" w:rsidRPr="00F131CC">
        <w:rPr>
          <w:i/>
          <w:iCs/>
        </w:rPr>
        <w:t>ServingCellConfigCommon</w:t>
      </w:r>
      <w:r w:rsidR="00F131CC">
        <w:rPr>
          <w:i/>
          <w:iCs/>
        </w:rPr>
        <w:t xml:space="preserve"> </w:t>
      </w:r>
      <w:r w:rsidR="00F73D28">
        <w:rPr>
          <w:iCs/>
        </w:rPr>
        <w:t xml:space="preserve">(not </w:t>
      </w:r>
      <w:r w:rsidR="00F73D28" w:rsidRPr="00F73D28">
        <w:rPr>
          <w:i/>
          <w:iCs/>
        </w:rPr>
        <w:t>ServingCellConfigCommonSIB</w:t>
      </w:r>
      <w:r w:rsidR="00F73D28">
        <w:rPr>
          <w:iCs/>
        </w:rPr>
        <w:t xml:space="preserve">) </w:t>
      </w:r>
      <w:r w:rsidR="00F131CC">
        <w:rPr>
          <w:iCs/>
        </w:rPr>
        <w:t xml:space="preserve">is used </w:t>
      </w:r>
      <w:r w:rsidR="00975FA4" w:rsidRPr="00975FA4">
        <w:rPr>
          <w:iCs/>
        </w:rPr>
        <w:t>to configure cell specific parameters of a UE's serving cell</w:t>
      </w:r>
      <w:r w:rsidR="00865116">
        <w:rPr>
          <w:iCs/>
        </w:rPr>
        <w:t xml:space="preserve"> and thus Q should be included there as well.</w:t>
      </w:r>
      <w:r w:rsidR="0059697A">
        <w:rPr>
          <w:iCs/>
        </w:rPr>
        <w:t xml:space="preserve"> This is true, regardless of if Q is signaled in MIB or SIB1.</w:t>
      </w:r>
    </w:p>
    <w:p w14:paraId="0D225FC2" w14:textId="020F14D9" w:rsidR="009D7341" w:rsidRPr="00F131CC" w:rsidRDefault="009D7341" w:rsidP="00C46229">
      <w:pPr>
        <w:pStyle w:val="Proposal"/>
      </w:pPr>
      <w:bookmarkStart w:id="6" w:name="_Toc24104646"/>
      <w:r>
        <w:t xml:space="preserve">Support </w:t>
      </w:r>
      <w:r w:rsidR="00CA0F4C">
        <w:t xml:space="preserve">dedicated </w:t>
      </w:r>
      <w:r>
        <w:t xml:space="preserve">signaling of Q for a serving cell </w:t>
      </w:r>
      <w:r w:rsidR="00CA0F4C">
        <w:t xml:space="preserve">in </w:t>
      </w:r>
      <w:r w:rsidR="00CA0F4C" w:rsidRPr="00F131CC">
        <w:rPr>
          <w:i/>
        </w:rPr>
        <w:t>ServingCellConfigCommon</w:t>
      </w:r>
      <w:bookmarkEnd w:id="6"/>
    </w:p>
    <w:p w14:paraId="720E925F" w14:textId="179F745E" w:rsidR="00501C20" w:rsidRDefault="00501C20" w:rsidP="00EE2C34">
      <w:pPr>
        <w:pStyle w:val="BodyText"/>
      </w:pPr>
    </w:p>
    <w:p w14:paraId="5B400215" w14:textId="70CE1F8D" w:rsidR="00CA0F4C" w:rsidRPr="00A75ACB" w:rsidRDefault="006C3401" w:rsidP="00EE2C34">
      <w:pPr>
        <w:pStyle w:val="BodyText"/>
        <w:rPr>
          <w:b/>
        </w:rPr>
      </w:pPr>
      <w:r>
        <w:rPr>
          <w:b/>
        </w:rPr>
        <w:t>RRM Measurements</w:t>
      </w:r>
    </w:p>
    <w:p w14:paraId="3F643A9E" w14:textId="2E9D4BED" w:rsidR="000268B4" w:rsidRDefault="006C3401" w:rsidP="00A75ACB">
      <w:pPr>
        <w:pStyle w:val="BodyText"/>
      </w:pPr>
      <w:r>
        <w:t xml:space="preserve">RRM </w:t>
      </w:r>
      <w:r w:rsidR="00A75ACB">
        <w:t xml:space="preserve">measurements in NR are configured per frequency using the IEs </w:t>
      </w:r>
      <w:r w:rsidR="00A75ACB" w:rsidRPr="00DD2B91">
        <w:rPr>
          <w:i/>
        </w:rPr>
        <w:t>intraFreqCellReselectionInfo</w:t>
      </w:r>
      <w:r w:rsidR="00804B0E">
        <w:rPr>
          <w:i/>
        </w:rPr>
        <w:t xml:space="preserve"> </w:t>
      </w:r>
      <w:r w:rsidR="00804B0E">
        <w:t>(SIB2)</w:t>
      </w:r>
      <w:r w:rsidR="00A75ACB" w:rsidRPr="00DD2B91">
        <w:rPr>
          <w:i/>
        </w:rPr>
        <w:t>,</w:t>
      </w:r>
      <w:r w:rsidR="00A75ACB">
        <w:rPr>
          <w:i/>
        </w:rPr>
        <w:t xml:space="preserve"> </w:t>
      </w:r>
      <w:r w:rsidR="00A75ACB" w:rsidRPr="00DD2B91">
        <w:rPr>
          <w:i/>
        </w:rPr>
        <w:t xml:space="preserve">InterFreqCarrierFreqInfo </w:t>
      </w:r>
      <w:r w:rsidR="00804B0E">
        <w:t xml:space="preserve">(SIB4) </w:t>
      </w:r>
      <w:r w:rsidR="00A75ACB" w:rsidRPr="00DD2B91">
        <w:t xml:space="preserve">and </w:t>
      </w:r>
      <w:r w:rsidR="00A75ACB" w:rsidRPr="00DD2B91">
        <w:rPr>
          <w:i/>
        </w:rPr>
        <w:t>MeasObjectNR</w:t>
      </w:r>
      <w:r w:rsidR="006D125D">
        <w:rPr>
          <w:i/>
        </w:rPr>
        <w:t xml:space="preserve"> </w:t>
      </w:r>
      <w:r w:rsidR="006D125D">
        <w:t>(</w:t>
      </w:r>
      <w:r w:rsidR="00213F93">
        <w:t>dedicated RRC signaling)</w:t>
      </w:r>
      <w:r w:rsidR="00A75ACB">
        <w:t xml:space="preserve">. </w:t>
      </w:r>
      <w:r w:rsidR="000268B4">
        <w:t xml:space="preserve">In addition, cell specific </w:t>
      </w:r>
      <w:r w:rsidR="00605365">
        <w:t xml:space="preserve">parameters </w:t>
      </w:r>
      <w:r w:rsidR="00C67578">
        <w:t>can be included in</w:t>
      </w:r>
      <w:r w:rsidR="00717375">
        <w:t xml:space="preserve"> </w:t>
      </w:r>
      <w:r w:rsidR="00717375" w:rsidRPr="00717375">
        <w:rPr>
          <w:i/>
        </w:rPr>
        <w:t>IntraFreqNeighCellInfo</w:t>
      </w:r>
      <w:r w:rsidR="00717375">
        <w:t xml:space="preserve"> (SIB3),</w:t>
      </w:r>
      <w:r w:rsidR="00C67578">
        <w:t xml:space="preserve"> </w:t>
      </w:r>
      <w:r w:rsidR="00C67578" w:rsidRPr="00C67578">
        <w:rPr>
          <w:i/>
        </w:rPr>
        <w:t>InterFreqNeighCellInfo</w:t>
      </w:r>
      <w:r w:rsidR="00C67578">
        <w:t xml:space="preserve"> </w:t>
      </w:r>
      <w:r w:rsidR="00864ECC">
        <w:t>(SIB</w:t>
      </w:r>
      <w:r w:rsidR="00717375">
        <w:t>4)</w:t>
      </w:r>
      <w:r w:rsidR="00D62AD4">
        <w:t xml:space="preserve"> and </w:t>
      </w:r>
      <w:r w:rsidR="004D319E" w:rsidRPr="004D319E">
        <w:rPr>
          <w:i/>
        </w:rPr>
        <w:t>CellsToAddMod</w:t>
      </w:r>
      <w:r w:rsidR="004D319E">
        <w:t xml:space="preserve"> (dedicated RRC signaling).</w:t>
      </w:r>
    </w:p>
    <w:p w14:paraId="4A7EB4B0" w14:textId="0D1326D6" w:rsidR="002C25B1" w:rsidRDefault="002C25B1" w:rsidP="00A75ACB">
      <w:pPr>
        <w:pStyle w:val="BodyText"/>
      </w:pPr>
      <w:r>
        <w:t>In RAN1#98 the following agreement was made</w:t>
      </w:r>
    </w:p>
    <w:p w14:paraId="55878015" w14:textId="77777777" w:rsidR="0027314C" w:rsidRPr="0027314C" w:rsidRDefault="0027314C" w:rsidP="0027314C">
      <w:pPr>
        <w:spacing w:after="0" w:line="240" w:lineRule="auto"/>
        <w:rPr>
          <w:rFonts w:ascii="Times" w:eastAsia="Batang" w:hAnsi="Times" w:cs="Times New Roman"/>
          <w:sz w:val="20"/>
          <w:szCs w:val="24"/>
          <w:lang w:val="en-GB" w:eastAsia="x-none"/>
        </w:rPr>
      </w:pPr>
      <w:r w:rsidRPr="0027314C">
        <w:rPr>
          <w:rFonts w:ascii="Times" w:eastAsia="Batang" w:hAnsi="Times" w:cs="Times New Roman"/>
          <w:sz w:val="20"/>
          <w:szCs w:val="24"/>
          <w:highlight w:val="green"/>
          <w:lang w:val="en-GB" w:eastAsia="x-none"/>
        </w:rPr>
        <w:t>Agreement:</w:t>
      </w:r>
    </w:p>
    <w:p w14:paraId="4A498DDB" w14:textId="77777777" w:rsidR="0027314C" w:rsidRPr="0027314C" w:rsidRDefault="0027314C" w:rsidP="0027314C">
      <w:p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 xml:space="preserve">For RRM measurements of a </w:t>
      </w:r>
      <w:proofErr w:type="spellStart"/>
      <w:r w:rsidRPr="0027314C">
        <w:rPr>
          <w:rFonts w:ascii="Times" w:eastAsia="Batang" w:hAnsi="Times" w:cs="Times New Roman"/>
          <w:sz w:val="20"/>
          <w:szCs w:val="24"/>
          <w:lang w:val="en-GB" w:eastAsia="x-none"/>
        </w:rPr>
        <w:t>neighbor</w:t>
      </w:r>
      <w:proofErr w:type="spellEnd"/>
      <w:r w:rsidRPr="0027314C">
        <w:rPr>
          <w:rFonts w:ascii="Times" w:eastAsia="Batang" w:hAnsi="Times" w:cs="Times New Roman"/>
          <w:sz w:val="20"/>
          <w:szCs w:val="24"/>
          <w:lang w:val="en-GB" w:eastAsia="x-none"/>
        </w:rPr>
        <w:t xml:space="preserve"> cell in IDLE, INACTIVE and CONNECTED UE states,</w:t>
      </w:r>
    </w:p>
    <w:p w14:paraId="02D3D770" w14:textId="77777777" w:rsidR="0027314C" w:rsidRPr="0027314C" w:rsidRDefault="0027314C" w:rsidP="0027314C">
      <w:pPr>
        <w:numPr>
          <w:ilvl w:val="0"/>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Support signaling of a common Q value per frequency by broadcast RRC signaling (</w:t>
      </w:r>
      <w:proofErr w:type="spellStart"/>
      <w:r w:rsidRPr="0027314C">
        <w:rPr>
          <w:rFonts w:ascii="Times" w:eastAsia="Batang" w:hAnsi="Times" w:cs="Times New Roman"/>
          <w:sz w:val="20"/>
          <w:szCs w:val="24"/>
          <w:lang w:val="en-GB" w:eastAsia="x-none"/>
        </w:rPr>
        <w:t>SIBx</w:t>
      </w:r>
      <w:proofErr w:type="spellEnd"/>
      <w:r w:rsidRPr="0027314C">
        <w:rPr>
          <w:rFonts w:ascii="Times" w:eastAsia="Batang" w:hAnsi="Times" w:cs="Times New Roman"/>
          <w:sz w:val="20"/>
          <w:szCs w:val="24"/>
          <w:lang w:val="en-GB" w:eastAsia="x-none"/>
        </w:rPr>
        <w:t>) and/or dedicated RRC signaling (</w:t>
      </w:r>
      <w:proofErr w:type="spellStart"/>
      <w:r w:rsidRPr="0027314C">
        <w:rPr>
          <w:rFonts w:ascii="Times" w:eastAsia="Batang" w:hAnsi="Times" w:cs="Times New Roman"/>
          <w:sz w:val="20"/>
          <w:szCs w:val="24"/>
          <w:lang w:val="en-GB" w:eastAsia="x-none"/>
        </w:rPr>
        <w:t>measObjectNR</w:t>
      </w:r>
      <w:proofErr w:type="spellEnd"/>
      <w:r w:rsidRPr="0027314C">
        <w:rPr>
          <w:rFonts w:ascii="Times" w:eastAsia="Batang" w:hAnsi="Times" w:cs="Times New Roman"/>
          <w:sz w:val="20"/>
          <w:szCs w:val="24"/>
          <w:lang w:val="en-GB" w:eastAsia="x-none"/>
        </w:rPr>
        <w:t>) from the serving cell.</w:t>
      </w:r>
    </w:p>
    <w:p w14:paraId="13FCA51A" w14:textId="77777777" w:rsidR="0027314C" w:rsidRPr="0027314C" w:rsidRDefault="0027314C" w:rsidP="0027314C">
      <w:pPr>
        <w:numPr>
          <w:ilvl w:val="0"/>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 xml:space="preserve">Support signaling from the serving cell of a Q value for a listed neighbour cell. </w:t>
      </w:r>
    </w:p>
    <w:p w14:paraId="5E569FE0" w14:textId="77777777" w:rsidR="0027314C" w:rsidRPr="0027314C" w:rsidRDefault="0027314C" w:rsidP="0027314C">
      <w:pPr>
        <w:numPr>
          <w:ilvl w:val="1"/>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 xml:space="preserve">If Q is </w:t>
      </w:r>
      <w:proofErr w:type="spellStart"/>
      <w:r w:rsidRPr="0027314C">
        <w:rPr>
          <w:rFonts w:ascii="Times" w:eastAsia="Batang" w:hAnsi="Times" w:cs="Times New Roman"/>
          <w:sz w:val="20"/>
          <w:szCs w:val="24"/>
          <w:lang w:val="en-GB" w:eastAsia="x-none"/>
        </w:rPr>
        <w:t>signaled</w:t>
      </w:r>
      <w:proofErr w:type="spellEnd"/>
      <w:r w:rsidRPr="0027314C">
        <w:rPr>
          <w:rFonts w:ascii="Times" w:eastAsia="Batang" w:hAnsi="Times" w:cs="Times New Roman"/>
          <w:sz w:val="20"/>
          <w:szCs w:val="24"/>
          <w:lang w:val="en-GB" w:eastAsia="x-none"/>
        </w:rPr>
        <w:t xml:space="preserve"> for a listed cell, it overrides any common Q value per frequency  </w:t>
      </w:r>
    </w:p>
    <w:p w14:paraId="32C5994A" w14:textId="77777777" w:rsidR="0027314C" w:rsidRPr="00ED20EF" w:rsidRDefault="0027314C" w:rsidP="00A75ACB">
      <w:pPr>
        <w:pStyle w:val="BodyText"/>
        <w:rPr>
          <w:lang w:val="en-GB"/>
        </w:rPr>
      </w:pPr>
    </w:p>
    <w:p w14:paraId="059437FA" w14:textId="6F30AA74" w:rsidR="00A64745" w:rsidRDefault="003B7D9A" w:rsidP="003B7D9A">
      <w:pPr>
        <w:pStyle w:val="BodyText"/>
      </w:pPr>
      <w:r>
        <w:t>The agreement above only covers neighbor cells. For serving cell RRM measurements, it is not clear if the UE should use the Q signaled in MIB/SIB1/ServingCellConfigCommon or the Q signaled in the intra frequency measurement object/SIB2.</w:t>
      </w:r>
      <w:r w:rsidR="002D4BC9">
        <w:t xml:space="preserve"> In case the common Q in the measurement configuration is larger than the Q used by the serving cell (and no cell specific Q is signaled) the serving cell need to restrict in which SS/PBCH block candidate positions it transmits SS/PBCH blocks</w:t>
      </w:r>
      <w:r w:rsidR="00A64745">
        <w:t xml:space="preserve"> as illustrated with the green fields in the figure below.</w:t>
      </w:r>
    </w:p>
    <w:tbl>
      <w:tblPr>
        <w:tblW w:w="10440" w:type="dxa"/>
        <w:tblCellMar>
          <w:left w:w="70" w:type="dxa"/>
          <w:right w:w="70" w:type="dxa"/>
        </w:tblCellMar>
        <w:tblLook w:val="04A0" w:firstRow="1" w:lastRow="0" w:firstColumn="1" w:lastColumn="0" w:noHBand="0" w:noVBand="1"/>
      </w:tblPr>
      <w:tblGrid>
        <w:gridCol w:w="620"/>
        <w:gridCol w:w="460"/>
        <w:gridCol w:w="300"/>
        <w:gridCol w:w="300"/>
        <w:gridCol w:w="300"/>
        <w:gridCol w:w="300"/>
        <w:gridCol w:w="300"/>
        <w:gridCol w:w="300"/>
        <w:gridCol w:w="300"/>
        <w:gridCol w:w="300"/>
        <w:gridCol w:w="300"/>
        <w:gridCol w:w="300"/>
        <w:gridCol w:w="303"/>
        <w:gridCol w:w="303"/>
        <w:gridCol w:w="303"/>
        <w:gridCol w:w="303"/>
        <w:gridCol w:w="303"/>
        <w:gridCol w:w="303"/>
        <w:gridCol w:w="303"/>
        <w:gridCol w:w="303"/>
        <w:gridCol w:w="303"/>
        <w:gridCol w:w="303"/>
        <w:gridCol w:w="300"/>
        <w:gridCol w:w="3060"/>
      </w:tblGrid>
      <w:tr w:rsidR="00A64745" w:rsidRPr="009300E6" w14:paraId="0379B388" w14:textId="77777777" w:rsidTr="008A5B1B">
        <w:trPr>
          <w:trHeight w:val="300"/>
        </w:trPr>
        <w:tc>
          <w:tcPr>
            <w:tcW w:w="620" w:type="dxa"/>
            <w:tcBorders>
              <w:top w:val="nil"/>
              <w:left w:val="nil"/>
              <w:bottom w:val="nil"/>
              <w:right w:val="nil"/>
            </w:tcBorders>
            <w:shd w:val="clear" w:color="auto" w:fill="auto"/>
            <w:noWrap/>
            <w:vAlign w:val="bottom"/>
            <w:hideMark/>
          </w:tcPr>
          <w:p w14:paraId="7E1C0D7A" w14:textId="77777777" w:rsidR="00A64745" w:rsidRPr="00321409" w:rsidRDefault="00A64745" w:rsidP="008A5B1B">
            <w:pPr>
              <w:spacing w:after="0" w:line="240" w:lineRule="auto"/>
              <w:rPr>
                <w:rFonts w:ascii="Times New Roman" w:eastAsia="Times New Roman" w:hAnsi="Times New Roman" w:cs="Times New Roman"/>
                <w:sz w:val="20"/>
                <w:szCs w:val="20"/>
                <w:lang w:eastAsia="sv-SE"/>
              </w:rPr>
            </w:pPr>
          </w:p>
        </w:tc>
        <w:tc>
          <w:tcPr>
            <w:tcW w:w="460" w:type="dxa"/>
            <w:tcBorders>
              <w:top w:val="nil"/>
              <w:left w:val="nil"/>
              <w:bottom w:val="nil"/>
              <w:right w:val="nil"/>
            </w:tcBorders>
            <w:shd w:val="clear" w:color="auto" w:fill="auto"/>
            <w:noWrap/>
            <w:vAlign w:val="bottom"/>
            <w:hideMark/>
          </w:tcPr>
          <w:p w14:paraId="153E0ECA" w14:textId="77777777" w:rsidR="00A64745" w:rsidRPr="00321409" w:rsidRDefault="00A64745" w:rsidP="008A5B1B">
            <w:pPr>
              <w:spacing w:after="0" w:line="240" w:lineRule="auto"/>
              <w:rPr>
                <w:rFonts w:ascii="Times New Roman" w:eastAsia="Times New Roman" w:hAnsi="Times New Roman" w:cs="Times New Roman"/>
                <w:sz w:val="20"/>
                <w:szCs w:val="20"/>
                <w:lang w:eastAsia="sv-SE"/>
              </w:rPr>
            </w:pPr>
          </w:p>
        </w:tc>
        <w:tc>
          <w:tcPr>
            <w:tcW w:w="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A0C77"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4A4CE3B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2C9671C"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3855F6A"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EAA0881"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4C1500AA"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5</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CC7531C"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6</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5CC3721"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7</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66BE4A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8</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42F9137"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9</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3FE2CDD0"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AFE6E70"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11</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DDFC2A4"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12</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C3ABC1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13</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44F504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1C82A1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15</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703437D"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16</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34106C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17</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0ADCE2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18</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6CA30B8"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19</w:t>
            </w:r>
          </w:p>
        </w:tc>
        <w:tc>
          <w:tcPr>
            <w:tcW w:w="300" w:type="dxa"/>
            <w:tcBorders>
              <w:top w:val="nil"/>
              <w:left w:val="nil"/>
              <w:bottom w:val="nil"/>
              <w:right w:val="nil"/>
            </w:tcBorders>
            <w:shd w:val="clear" w:color="auto" w:fill="auto"/>
            <w:noWrap/>
            <w:vAlign w:val="bottom"/>
            <w:hideMark/>
          </w:tcPr>
          <w:p w14:paraId="35BBBD11"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7E50F952"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SS/PBCH block candidate position</w:t>
            </w:r>
          </w:p>
        </w:tc>
      </w:tr>
      <w:tr w:rsidR="00A64745" w:rsidRPr="009300E6" w14:paraId="66568A3D" w14:textId="77777777" w:rsidTr="008A5B1B">
        <w:trPr>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91BE1"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1</w:t>
            </w:r>
          </w:p>
        </w:tc>
        <w:tc>
          <w:tcPr>
            <w:tcW w:w="460" w:type="dxa"/>
            <w:tcBorders>
              <w:top w:val="single" w:sz="4" w:space="0" w:color="auto"/>
              <w:left w:val="nil"/>
              <w:bottom w:val="single" w:sz="4" w:space="0" w:color="auto"/>
              <w:right w:val="single" w:sz="4" w:space="0" w:color="auto"/>
            </w:tcBorders>
            <w:shd w:val="clear" w:color="000000" w:fill="00B0F0"/>
            <w:noWrap/>
            <w:vAlign w:val="bottom"/>
            <w:hideMark/>
          </w:tcPr>
          <w:p w14:paraId="7FDF7EC5"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Q=4</w:t>
            </w:r>
          </w:p>
        </w:tc>
        <w:tc>
          <w:tcPr>
            <w:tcW w:w="300" w:type="dxa"/>
            <w:tcBorders>
              <w:top w:val="nil"/>
              <w:left w:val="nil"/>
              <w:bottom w:val="single" w:sz="4" w:space="0" w:color="auto"/>
              <w:right w:val="single" w:sz="4" w:space="0" w:color="auto"/>
            </w:tcBorders>
            <w:shd w:val="clear" w:color="000000" w:fill="92D050"/>
            <w:noWrap/>
            <w:vAlign w:val="bottom"/>
            <w:hideMark/>
          </w:tcPr>
          <w:p w14:paraId="3C0F4B78"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31CF16D5"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70ABB3D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061FC788"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0C36605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1D1A7200"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1A942AAA"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41358C3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3E51906C"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5A1E42A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55F0863E"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075AD67D"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42E32458"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1EF620E2"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63583A91"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4ACBBCE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051B60F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06636BD4"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2F2C48CF"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50F1E7C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nil"/>
              <w:right w:val="nil"/>
            </w:tcBorders>
            <w:shd w:val="clear" w:color="auto" w:fill="auto"/>
            <w:noWrap/>
            <w:vAlign w:val="bottom"/>
            <w:hideMark/>
          </w:tcPr>
          <w:p w14:paraId="6B56323B"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64D1F951"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position,4)</w:t>
            </w:r>
          </w:p>
        </w:tc>
      </w:tr>
      <w:tr w:rsidR="00A64745" w:rsidRPr="009300E6" w14:paraId="3E523A4D" w14:textId="77777777" w:rsidTr="008A5B1B">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10242FE"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2</w:t>
            </w:r>
          </w:p>
        </w:tc>
        <w:tc>
          <w:tcPr>
            <w:tcW w:w="460" w:type="dxa"/>
            <w:tcBorders>
              <w:top w:val="nil"/>
              <w:left w:val="nil"/>
              <w:bottom w:val="single" w:sz="4" w:space="0" w:color="auto"/>
              <w:right w:val="single" w:sz="4" w:space="0" w:color="auto"/>
            </w:tcBorders>
            <w:shd w:val="clear" w:color="auto" w:fill="auto"/>
            <w:noWrap/>
            <w:vAlign w:val="bottom"/>
            <w:hideMark/>
          </w:tcPr>
          <w:p w14:paraId="6ED0D546"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Q=2</w:t>
            </w:r>
          </w:p>
        </w:tc>
        <w:tc>
          <w:tcPr>
            <w:tcW w:w="300" w:type="dxa"/>
            <w:tcBorders>
              <w:top w:val="nil"/>
              <w:left w:val="nil"/>
              <w:bottom w:val="single" w:sz="4" w:space="0" w:color="auto"/>
              <w:right w:val="single" w:sz="4" w:space="0" w:color="auto"/>
            </w:tcBorders>
            <w:shd w:val="clear" w:color="000000" w:fill="92D050"/>
            <w:noWrap/>
            <w:vAlign w:val="bottom"/>
            <w:hideMark/>
          </w:tcPr>
          <w:p w14:paraId="5C92D7D0"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086E2A4C"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0559500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4E5FA250"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45E2B061"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2495407F"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0CD81804"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591DF6B1"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6D8DC8B4"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3598A83"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4D23BDCC"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F351ED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63ECEEE0"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13950063"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563C96DA"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D740E92"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185FEE07"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333B471A"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04239202"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3A4F6DE"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nil"/>
              <w:right w:val="nil"/>
            </w:tcBorders>
            <w:shd w:val="clear" w:color="auto" w:fill="auto"/>
            <w:noWrap/>
            <w:vAlign w:val="bottom"/>
            <w:hideMark/>
          </w:tcPr>
          <w:p w14:paraId="4A9F9FEE"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68C73BE9"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position,2)</w:t>
            </w:r>
          </w:p>
        </w:tc>
      </w:tr>
      <w:tr w:rsidR="00A64745" w:rsidRPr="009300E6" w14:paraId="550C9DF9" w14:textId="77777777" w:rsidTr="008A5B1B">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39381F2"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3</w:t>
            </w:r>
          </w:p>
        </w:tc>
        <w:tc>
          <w:tcPr>
            <w:tcW w:w="460" w:type="dxa"/>
            <w:tcBorders>
              <w:top w:val="nil"/>
              <w:left w:val="nil"/>
              <w:bottom w:val="single" w:sz="4" w:space="0" w:color="auto"/>
              <w:right w:val="single" w:sz="4" w:space="0" w:color="auto"/>
            </w:tcBorders>
            <w:shd w:val="clear" w:color="auto" w:fill="auto"/>
            <w:noWrap/>
            <w:vAlign w:val="bottom"/>
            <w:hideMark/>
          </w:tcPr>
          <w:p w14:paraId="7CED2948"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Q=1</w:t>
            </w:r>
          </w:p>
        </w:tc>
        <w:tc>
          <w:tcPr>
            <w:tcW w:w="300" w:type="dxa"/>
            <w:tcBorders>
              <w:top w:val="nil"/>
              <w:left w:val="nil"/>
              <w:bottom w:val="single" w:sz="4" w:space="0" w:color="auto"/>
              <w:right w:val="single" w:sz="4" w:space="0" w:color="auto"/>
            </w:tcBorders>
            <w:shd w:val="clear" w:color="000000" w:fill="92D050"/>
            <w:noWrap/>
            <w:vAlign w:val="bottom"/>
            <w:hideMark/>
          </w:tcPr>
          <w:p w14:paraId="31559F7A"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3CD3C996"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3E95729"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49C1874D"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207072C9"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4F04C62"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1AF0A64"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32E806A"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A010D10"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55F259D"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7E32A2D1"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779D2143"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6211F28F"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5935574"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042267E"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4CBAA6E"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456250F"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7D8AE41"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3EA1CC8E"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0312E5D"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nil"/>
              <w:right w:val="nil"/>
            </w:tcBorders>
            <w:shd w:val="clear" w:color="auto" w:fill="auto"/>
            <w:noWrap/>
            <w:vAlign w:val="bottom"/>
            <w:hideMark/>
          </w:tcPr>
          <w:p w14:paraId="59CC8A43" w14:textId="77777777" w:rsidR="00A64745" w:rsidRPr="009300E6" w:rsidRDefault="00A64745" w:rsidP="008A5B1B">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16E11C6F"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position,1)</w:t>
            </w:r>
          </w:p>
        </w:tc>
      </w:tr>
      <w:tr w:rsidR="00A64745" w:rsidRPr="009300E6" w14:paraId="6154D6F3" w14:textId="77777777" w:rsidTr="008A5B1B">
        <w:trPr>
          <w:trHeight w:val="300"/>
        </w:trPr>
        <w:tc>
          <w:tcPr>
            <w:tcW w:w="620" w:type="dxa"/>
            <w:tcBorders>
              <w:top w:val="nil"/>
              <w:left w:val="nil"/>
              <w:bottom w:val="nil"/>
              <w:right w:val="nil"/>
            </w:tcBorders>
            <w:shd w:val="clear" w:color="auto" w:fill="auto"/>
            <w:noWrap/>
            <w:vAlign w:val="bottom"/>
            <w:hideMark/>
          </w:tcPr>
          <w:p w14:paraId="60153684"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p>
        </w:tc>
        <w:tc>
          <w:tcPr>
            <w:tcW w:w="460" w:type="dxa"/>
            <w:tcBorders>
              <w:top w:val="nil"/>
              <w:left w:val="nil"/>
              <w:bottom w:val="nil"/>
              <w:right w:val="nil"/>
            </w:tcBorders>
            <w:shd w:val="clear" w:color="auto" w:fill="auto"/>
            <w:noWrap/>
            <w:vAlign w:val="bottom"/>
            <w:hideMark/>
          </w:tcPr>
          <w:p w14:paraId="28D956B9"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4E0B8D8"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C2014CE"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5CAF09C"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57D7F58"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A8B1150"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423E256"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FAEC087"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E1CD93A"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3C66C46"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E3489FB"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09E1FC7"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D35D49C"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52A2ACE"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DB8FB46"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C8C8F7C"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76966D5"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19ACA9A"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A5B4BE4"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B7B2A6B"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F17145F"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37587FC"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3EEE919C"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r>
      <w:tr w:rsidR="00A64745" w:rsidRPr="009300E6" w14:paraId="27B380E1" w14:textId="77777777" w:rsidTr="008A5B1B">
        <w:trPr>
          <w:trHeight w:val="300"/>
        </w:trPr>
        <w:tc>
          <w:tcPr>
            <w:tcW w:w="620" w:type="dxa"/>
            <w:tcBorders>
              <w:top w:val="nil"/>
              <w:left w:val="nil"/>
              <w:bottom w:val="nil"/>
              <w:right w:val="nil"/>
            </w:tcBorders>
            <w:shd w:val="clear" w:color="auto" w:fill="auto"/>
            <w:noWrap/>
            <w:vAlign w:val="bottom"/>
            <w:hideMark/>
          </w:tcPr>
          <w:p w14:paraId="0EC71AD9"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460" w:type="dxa"/>
            <w:tcBorders>
              <w:top w:val="nil"/>
              <w:left w:val="nil"/>
              <w:bottom w:val="nil"/>
              <w:right w:val="nil"/>
            </w:tcBorders>
            <w:shd w:val="clear" w:color="auto" w:fill="auto"/>
            <w:noWrap/>
            <w:vAlign w:val="bottom"/>
            <w:hideMark/>
          </w:tcPr>
          <w:p w14:paraId="075D9FE6"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000000" w:fill="92D050"/>
            <w:noWrap/>
            <w:vAlign w:val="bottom"/>
            <w:hideMark/>
          </w:tcPr>
          <w:p w14:paraId="2DCBDC59"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 </w:t>
            </w:r>
          </w:p>
        </w:tc>
        <w:tc>
          <w:tcPr>
            <w:tcW w:w="3000" w:type="dxa"/>
            <w:gridSpan w:val="10"/>
            <w:tcBorders>
              <w:top w:val="nil"/>
              <w:left w:val="nil"/>
              <w:bottom w:val="nil"/>
              <w:right w:val="nil"/>
            </w:tcBorders>
            <w:shd w:val="clear" w:color="auto" w:fill="auto"/>
            <w:noWrap/>
            <w:vAlign w:val="bottom"/>
            <w:hideMark/>
          </w:tcPr>
          <w:p w14:paraId="00D1191A"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Valid SS/PBCH block candidate position</w:t>
            </w:r>
          </w:p>
        </w:tc>
        <w:tc>
          <w:tcPr>
            <w:tcW w:w="300" w:type="dxa"/>
            <w:tcBorders>
              <w:top w:val="nil"/>
              <w:left w:val="nil"/>
              <w:bottom w:val="nil"/>
              <w:right w:val="nil"/>
            </w:tcBorders>
            <w:shd w:val="clear" w:color="auto" w:fill="auto"/>
            <w:noWrap/>
            <w:vAlign w:val="bottom"/>
            <w:hideMark/>
          </w:tcPr>
          <w:p w14:paraId="70BCBAF5"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p>
        </w:tc>
        <w:tc>
          <w:tcPr>
            <w:tcW w:w="300" w:type="dxa"/>
            <w:tcBorders>
              <w:top w:val="nil"/>
              <w:left w:val="nil"/>
              <w:bottom w:val="nil"/>
              <w:right w:val="nil"/>
            </w:tcBorders>
            <w:shd w:val="clear" w:color="auto" w:fill="auto"/>
            <w:noWrap/>
            <w:vAlign w:val="bottom"/>
            <w:hideMark/>
          </w:tcPr>
          <w:p w14:paraId="135D31E8"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9505BAF"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ADA3094"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F8655BD"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F940170"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C07EDFF"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7420DFB"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C1F0E75"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E7A61CA"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78066091"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r>
      <w:tr w:rsidR="00A64745" w:rsidRPr="009300E6" w14:paraId="33315931" w14:textId="77777777" w:rsidTr="008A5B1B">
        <w:trPr>
          <w:trHeight w:val="300"/>
        </w:trPr>
        <w:tc>
          <w:tcPr>
            <w:tcW w:w="620" w:type="dxa"/>
            <w:tcBorders>
              <w:top w:val="nil"/>
              <w:left w:val="nil"/>
              <w:bottom w:val="nil"/>
              <w:right w:val="nil"/>
            </w:tcBorders>
            <w:shd w:val="clear" w:color="auto" w:fill="auto"/>
            <w:noWrap/>
            <w:vAlign w:val="bottom"/>
            <w:hideMark/>
          </w:tcPr>
          <w:p w14:paraId="2C64084A"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460" w:type="dxa"/>
            <w:tcBorders>
              <w:top w:val="nil"/>
              <w:left w:val="nil"/>
              <w:bottom w:val="nil"/>
              <w:right w:val="nil"/>
            </w:tcBorders>
            <w:shd w:val="clear" w:color="auto" w:fill="auto"/>
            <w:noWrap/>
            <w:vAlign w:val="bottom"/>
            <w:hideMark/>
          </w:tcPr>
          <w:p w14:paraId="149EBC7A"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000000" w:fill="00B0F0"/>
            <w:noWrap/>
            <w:vAlign w:val="bottom"/>
            <w:hideMark/>
          </w:tcPr>
          <w:p w14:paraId="28B153A3"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 </w:t>
            </w:r>
          </w:p>
        </w:tc>
        <w:tc>
          <w:tcPr>
            <w:tcW w:w="1500" w:type="dxa"/>
            <w:gridSpan w:val="5"/>
            <w:tcBorders>
              <w:top w:val="nil"/>
              <w:left w:val="nil"/>
              <w:bottom w:val="nil"/>
              <w:right w:val="nil"/>
            </w:tcBorders>
            <w:shd w:val="clear" w:color="auto" w:fill="auto"/>
            <w:noWrap/>
            <w:vAlign w:val="bottom"/>
            <w:hideMark/>
          </w:tcPr>
          <w:p w14:paraId="35E25A59"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Signaled value of Q</w:t>
            </w:r>
          </w:p>
        </w:tc>
        <w:tc>
          <w:tcPr>
            <w:tcW w:w="300" w:type="dxa"/>
            <w:tcBorders>
              <w:top w:val="nil"/>
              <w:left w:val="nil"/>
              <w:bottom w:val="nil"/>
              <w:right w:val="nil"/>
            </w:tcBorders>
            <w:shd w:val="clear" w:color="auto" w:fill="auto"/>
            <w:noWrap/>
            <w:vAlign w:val="bottom"/>
            <w:hideMark/>
          </w:tcPr>
          <w:p w14:paraId="47B0E2C5" w14:textId="77777777" w:rsidR="00A64745" w:rsidRPr="009300E6" w:rsidRDefault="00A64745" w:rsidP="008A5B1B">
            <w:pPr>
              <w:spacing w:after="0" w:line="240" w:lineRule="auto"/>
              <w:rPr>
                <w:rFonts w:ascii="Calibri" w:eastAsia="Times New Roman" w:hAnsi="Calibri" w:cs="Calibri"/>
                <w:color w:val="000000"/>
                <w:sz w:val="16"/>
                <w:szCs w:val="16"/>
                <w:lang w:val="sv-SE" w:eastAsia="sv-SE"/>
              </w:rPr>
            </w:pPr>
          </w:p>
        </w:tc>
        <w:tc>
          <w:tcPr>
            <w:tcW w:w="300" w:type="dxa"/>
            <w:tcBorders>
              <w:top w:val="nil"/>
              <w:left w:val="nil"/>
              <w:bottom w:val="nil"/>
              <w:right w:val="nil"/>
            </w:tcBorders>
            <w:shd w:val="clear" w:color="auto" w:fill="auto"/>
            <w:noWrap/>
            <w:vAlign w:val="bottom"/>
            <w:hideMark/>
          </w:tcPr>
          <w:p w14:paraId="67F8829F"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3B7EC8C"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1FA8816"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3436393"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B4FBEFE"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D5EF6C7"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F2E00B1"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2DD5C52"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12B7D58"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C7484B8"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D14421E"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D392002"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38DE5E2"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5B9044B"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45E66805" w14:textId="77777777" w:rsidR="00A64745" w:rsidRPr="009300E6" w:rsidRDefault="00A64745" w:rsidP="008A5B1B">
            <w:pPr>
              <w:spacing w:after="0" w:line="240" w:lineRule="auto"/>
              <w:rPr>
                <w:rFonts w:ascii="Times New Roman" w:eastAsia="Times New Roman" w:hAnsi="Times New Roman" w:cs="Times New Roman"/>
                <w:sz w:val="20"/>
                <w:szCs w:val="20"/>
                <w:lang w:val="sv-SE" w:eastAsia="sv-SE"/>
              </w:rPr>
            </w:pPr>
          </w:p>
        </w:tc>
      </w:tr>
    </w:tbl>
    <w:p w14:paraId="45202AF0" w14:textId="77777777" w:rsidR="00A64745" w:rsidRDefault="00A64745" w:rsidP="003B7D9A">
      <w:pPr>
        <w:pStyle w:val="BodyText"/>
      </w:pPr>
    </w:p>
    <w:p w14:paraId="013C8035" w14:textId="39081475" w:rsidR="003B7D9A" w:rsidRDefault="002D4BC9" w:rsidP="003B7D9A">
      <w:pPr>
        <w:pStyle w:val="BodyText"/>
      </w:pPr>
      <w:r>
        <w:t>Thus, using the (</w:t>
      </w:r>
      <w:r w:rsidR="00A94436">
        <w:t xml:space="preserve">potentially </w:t>
      </w:r>
      <w:r>
        <w:t>smaller) Q signaled in MIB/SIB1</w:t>
      </w:r>
      <w:r w:rsidR="00A94436">
        <w:t>/ServingCellConfigCommon</w:t>
      </w:r>
      <w:r>
        <w:t xml:space="preserve"> or the </w:t>
      </w:r>
      <w:r w:rsidR="00A94436">
        <w:t xml:space="preserve">(potentially </w:t>
      </w:r>
      <w:r>
        <w:t>larger</w:t>
      </w:r>
      <w:r w:rsidR="00A94436">
        <w:t>)</w:t>
      </w:r>
      <w:r>
        <w:t xml:space="preserve"> Q signaled in the measurement configuration is equivalent. If a cell specific value </w:t>
      </w:r>
      <w:r>
        <w:lastRenderedPageBreak/>
        <w:t>of Q is provided for the serving cell in the measurement configuration, it should be the same value as signaled in MIB/SIB</w:t>
      </w:r>
      <w:r w:rsidR="00A94436">
        <w:t>/ServingCellConfigCommon</w:t>
      </w:r>
      <w:r>
        <w:t xml:space="preserve">, so it doesn’t matter which one is used by the UE. </w:t>
      </w:r>
      <w:r w:rsidR="003B7D9A">
        <w:t xml:space="preserve">In general, the serving cell measurements requirements follow the SMTC configuration provided by the measurement configuration (MeasObjectNR/SIB2), thus we think it makes sense </w:t>
      </w:r>
      <w:r w:rsidR="00A94436">
        <w:t xml:space="preserve">(no strong view) </w:t>
      </w:r>
      <w:r w:rsidR="003B7D9A">
        <w:t>to use the latter also for serving cell RRM measurements.</w:t>
      </w:r>
      <w:r w:rsidR="0071508D">
        <w:t xml:space="preserve"> </w:t>
      </w:r>
    </w:p>
    <w:p w14:paraId="55DF6B1F" w14:textId="1756B03A" w:rsidR="00081E50" w:rsidRDefault="00B76852" w:rsidP="00EE2C34">
      <w:pPr>
        <w:pStyle w:val="Proposal"/>
      </w:pPr>
      <w:bookmarkStart w:id="7" w:name="_Toc24104647"/>
      <w:r>
        <w:t xml:space="preserve">Extend the agreement from </w:t>
      </w:r>
      <w:r w:rsidR="00AD3152">
        <w:t>RAN1#98b</w:t>
      </w:r>
      <w:r>
        <w:t xml:space="preserve"> on how Q is signaled for RRM measurements for neighbor cells to also include serving cells</w:t>
      </w:r>
      <w:r w:rsidR="00AD3152">
        <w:t>.</w:t>
      </w:r>
      <w:bookmarkEnd w:id="7"/>
    </w:p>
    <w:p w14:paraId="4338B465" w14:textId="4C6BC054" w:rsidR="00AD3152" w:rsidRPr="0027314C" w:rsidRDefault="00AD3152" w:rsidP="00AD3152">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highlight w:val="green"/>
          <w:lang w:val="en-GB" w:eastAsia="x-none"/>
        </w:rPr>
        <w:t>Proposed Modification:</w:t>
      </w:r>
    </w:p>
    <w:p w14:paraId="716D6E3D" w14:textId="77777777" w:rsidR="00AD3152" w:rsidRPr="0027314C" w:rsidRDefault="00AD3152" w:rsidP="00AD3152">
      <w:p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 xml:space="preserve">For RRM measurements </w:t>
      </w:r>
      <w:r w:rsidRPr="00ED20EF">
        <w:rPr>
          <w:rFonts w:ascii="Times" w:eastAsia="Batang" w:hAnsi="Times" w:cs="Times New Roman"/>
          <w:strike/>
          <w:color w:val="FF0000"/>
          <w:sz w:val="20"/>
          <w:szCs w:val="24"/>
          <w:lang w:val="en-GB" w:eastAsia="x-none"/>
        </w:rPr>
        <w:t xml:space="preserve">of a </w:t>
      </w:r>
      <w:proofErr w:type="spellStart"/>
      <w:r w:rsidRPr="00ED20EF">
        <w:rPr>
          <w:rFonts w:ascii="Times" w:eastAsia="Batang" w:hAnsi="Times" w:cs="Times New Roman"/>
          <w:strike/>
          <w:color w:val="FF0000"/>
          <w:sz w:val="20"/>
          <w:szCs w:val="24"/>
          <w:lang w:val="en-GB" w:eastAsia="x-none"/>
        </w:rPr>
        <w:t>neighbor</w:t>
      </w:r>
      <w:proofErr w:type="spellEnd"/>
      <w:r w:rsidRPr="00ED20EF">
        <w:rPr>
          <w:rFonts w:ascii="Times" w:eastAsia="Batang" w:hAnsi="Times" w:cs="Times New Roman"/>
          <w:strike/>
          <w:color w:val="FF0000"/>
          <w:sz w:val="20"/>
          <w:szCs w:val="24"/>
          <w:lang w:val="en-GB" w:eastAsia="x-none"/>
        </w:rPr>
        <w:t xml:space="preserve"> cell</w:t>
      </w:r>
      <w:r w:rsidRPr="00ED20EF">
        <w:rPr>
          <w:rFonts w:ascii="Times" w:eastAsia="Batang" w:hAnsi="Times" w:cs="Times New Roman"/>
          <w:color w:val="FF0000"/>
          <w:sz w:val="20"/>
          <w:szCs w:val="24"/>
          <w:lang w:val="en-GB" w:eastAsia="x-none"/>
        </w:rPr>
        <w:t xml:space="preserve"> </w:t>
      </w:r>
      <w:r w:rsidRPr="0027314C">
        <w:rPr>
          <w:rFonts w:ascii="Times" w:eastAsia="Batang" w:hAnsi="Times" w:cs="Times New Roman"/>
          <w:sz w:val="20"/>
          <w:szCs w:val="24"/>
          <w:lang w:val="en-GB" w:eastAsia="x-none"/>
        </w:rPr>
        <w:t>in IDLE, INACTIVE and CONNECTED UE states,</w:t>
      </w:r>
    </w:p>
    <w:p w14:paraId="0E2B1B6A" w14:textId="77777777" w:rsidR="00AD3152" w:rsidRPr="0027314C" w:rsidRDefault="00AD3152" w:rsidP="00AD3152">
      <w:pPr>
        <w:numPr>
          <w:ilvl w:val="0"/>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Support signaling of a common Q value per frequency by broadcast RRC signaling (</w:t>
      </w:r>
      <w:proofErr w:type="spellStart"/>
      <w:r w:rsidRPr="0027314C">
        <w:rPr>
          <w:rFonts w:ascii="Times" w:eastAsia="Batang" w:hAnsi="Times" w:cs="Times New Roman"/>
          <w:sz w:val="20"/>
          <w:szCs w:val="24"/>
          <w:lang w:val="en-GB" w:eastAsia="x-none"/>
        </w:rPr>
        <w:t>SIBx</w:t>
      </w:r>
      <w:proofErr w:type="spellEnd"/>
      <w:r w:rsidRPr="0027314C">
        <w:rPr>
          <w:rFonts w:ascii="Times" w:eastAsia="Batang" w:hAnsi="Times" w:cs="Times New Roman"/>
          <w:sz w:val="20"/>
          <w:szCs w:val="24"/>
          <w:lang w:val="en-GB" w:eastAsia="x-none"/>
        </w:rPr>
        <w:t>) and/or dedicated RRC signaling (</w:t>
      </w:r>
      <w:proofErr w:type="spellStart"/>
      <w:r w:rsidRPr="0027314C">
        <w:rPr>
          <w:rFonts w:ascii="Times" w:eastAsia="Batang" w:hAnsi="Times" w:cs="Times New Roman"/>
          <w:sz w:val="20"/>
          <w:szCs w:val="24"/>
          <w:lang w:val="en-GB" w:eastAsia="x-none"/>
        </w:rPr>
        <w:t>measObjectNR</w:t>
      </w:r>
      <w:proofErr w:type="spellEnd"/>
      <w:r w:rsidRPr="0027314C">
        <w:rPr>
          <w:rFonts w:ascii="Times" w:eastAsia="Batang" w:hAnsi="Times" w:cs="Times New Roman"/>
          <w:sz w:val="20"/>
          <w:szCs w:val="24"/>
          <w:lang w:val="en-GB" w:eastAsia="x-none"/>
        </w:rPr>
        <w:t>) from the serving cell.</w:t>
      </w:r>
    </w:p>
    <w:p w14:paraId="26C771B9" w14:textId="77777777" w:rsidR="00AD3152" w:rsidRPr="0027314C" w:rsidRDefault="00AD3152" w:rsidP="00AD3152">
      <w:pPr>
        <w:numPr>
          <w:ilvl w:val="0"/>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 xml:space="preserve">Support signaling from the serving cell of a Q value for a listed neighbour cell. </w:t>
      </w:r>
    </w:p>
    <w:p w14:paraId="4C62933C" w14:textId="77777777" w:rsidR="00AD3152" w:rsidRPr="0027314C" w:rsidRDefault="00AD3152" w:rsidP="00AD3152">
      <w:pPr>
        <w:numPr>
          <w:ilvl w:val="1"/>
          <w:numId w:val="41"/>
        </w:numPr>
        <w:spacing w:after="0" w:line="276" w:lineRule="auto"/>
        <w:contextualSpacing/>
        <w:jc w:val="both"/>
        <w:rPr>
          <w:rFonts w:ascii="Times" w:eastAsia="Batang" w:hAnsi="Times" w:cs="Times New Roman"/>
          <w:sz w:val="20"/>
          <w:szCs w:val="24"/>
          <w:lang w:val="en-GB" w:eastAsia="x-none"/>
        </w:rPr>
      </w:pPr>
      <w:r w:rsidRPr="0027314C">
        <w:rPr>
          <w:rFonts w:ascii="Times" w:eastAsia="Batang" w:hAnsi="Times" w:cs="Times New Roman"/>
          <w:sz w:val="20"/>
          <w:szCs w:val="24"/>
          <w:lang w:val="en-GB" w:eastAsia="x-none"/>
        </w:rPr>
        <w:t xml:space="preserve">If Q is </w:t>
      </w:r>
      <w:proofErr w:type="spellStart"/>
      <w:r w:rsidRPr="0027314C">
        <w:rPr>
          <w:rFonts w:ascii="Times" w:eastAsia="Batang" w:hAnsi="Times" w:cs="Times New Roman"/>
          <w:sz w:val="20"/>
          <w:szCs w:val="24"/>
          <w:lang w:val="en-GB" w:eastAsia="x-none"/>
        </w:rPr>
        <w:t>signaled</w:t>
      </w:r>
      <w:proofErr w:type="spellEnd"/>
      <w:r w:rsidRPr="0027314C">
        <w:rPr>
          <w:rFonts w:ascii="Times" w:eastAsia="Batang" w:hAnsi="Times" w:cs="Times New Roman"/>
          <w:sz w:val="20"/>
          <w:szCs w:val="24"/>
          <w:lang w:val="en-GB" w:eastAsia="x-none"/>
        </w:rPr>
        <w:t xml:space="preserve"> for a listed cell, it overrides any common Q value per frequency  </w:t>
      </w:r>
    </w:p>
    <w:p w14:paraId="72861BB5" w14:textId="77777777" w:rsidR="00FA3FFF" w:rsidDel="00AD3152" w:rsidRDefault="00FA3FFF" w:rsidP="00FA3FFF">
      <w:pPr>
        <w:pStyle w:val="BodyText"/>
      </w:pPr>
    </w:p>
    <w:p w14:paraId="0A49907D" w14:textId="77777777" w:rsidR="00AD3152" w:rsidRDefault="00AD3152" w:rsidP="00EE2C34">
      <w:pPr>
        <w:pStyle w:val="BodyText"/>
      </w:pPr>
    </w:p>
    <w:p w14:paraId="527C5329" w14:textId="38153714" w:rsidR="00FA3FFF" w:rsidDel="00DD5FB0" w:rsidRDefault="00FA3FFF" w:rsidP="00EE2C34">
      <w:pPr>
        <w:pStyle w:val="BodyText"/>
      </w:pPr>
      <w:r>
        <w:t xml:space="preserve">Another thing that remains is to agree on </w:t>
      </w:r>
      <w:r w:rsidR="00AD3152">
        <w:t xml:space="preserve">is </w:t>
      </w:r>
      <w:r>
        <w:t>in which IE</w:t>
      </w:r>
      <w:r w:rsidR="00AD3152">
        <w:t>s</w:t>
      </w:r>
      <w:r>
        <w:t xml:space="preserve"> Q should be signaled for different scenarios</w:t>
      </w:r>
      <w:r w:rsidR="00AD3152">
        <w:t>;</w:t>
      </w:r>
      <w:r>
        <w:t xml:space="preserve"> </w:t>
      </w:r>
      <w:proofErr w:type="gramStart"/>
      <w:r>
        <w:t>however</w:t>
      </w:r>
      <w:proofErr w:type="gramEnd"/>
      <w:r>
        <w:t xml:space="preserve"> this is mainly a RAN2 topic and thus we refer to our RAN2 paper </w:t>
      </w:r>
      <w:r>
        <w:fldChar w:fldCharType="begin"/>
      </w:r>
      <w:r>
        <w:instrText xml:space="preserve"> REF _Ref23330569 \r \h </w:instrText>
      </w:r>
      <w:r>
        <w:fldChar w:fldCharType="separate"/>
      </w:r>
      <w:r w:rsidR="009200D5">
        <w:t>[10]</w:t>
      </w:r>
      <w:r>
        <w:fldChar w:fldCharType="end"/>
      </w:r>
      <w:r>
        <w:t xml:space="preserve"> for this discussion. </w:t>
      </w:r>
    </w:p>
    <w:p w14:paraId="1DE1F1F5" w14:textId="3D151724" w:rsidR="00FA3FFF" w:rsidDel="00A64745" w:rsidRDefault="003B2530" w:rsidP="00EE2C34">
      <w:pPr>
        <w:pStyle w:val="BodyText"/>
      </w:pPr>
      <w:r>
        <w:t xml:space="preserve">In some deployments </w:t>
      </w:r>
      <w:r w:rsidR="00C552B1">
        <w:t xml:space="preserve">channel access is not a major problem and LBT </w:t>
      </w:r>
      <w:r w:rsidR="000D7BA0">
        <w:t>failure is infrequent.</w:t>
      </w:r>
      <w:r w:rsidR="008F461E">
        <w:t xml:space="preserve"> In such deployments, relying on Rel-15 NR </w:t>
      </w:r>
      <w:r w:rsidR="000F75D8">
        <w:t xml:space="preserve">mechanism </w:t>
      </w:r>
      <w:r w:rsidR="00B65A89">
        <w:t xml:space="preserve">for QCL </w:t>
      </w:r>
      <w:r w:rsidR="007112FC">
        <w:t xml:space="preserve">and </w:t>
      </w:r>
      <w:r w:rsidR="0037245F">
        <w:t xml:space="preserve">timing </w:t>
      </w:r>
      <w:r w:rsidR="00B65A89">
        <w:t xml:space="preserve">determination </w:t>
      </w:r>
      <w:r w:rsidR="00BD627F">
        <w:t xml:space="preserve">is </w:t>
      </w:r>
      <w:proofErr w:type="gramStart"/>
      <w:r w:rsidR="00ED1FB0">
        <w:t>sufficient</w:t>
      </w:r>
      <w:proofErr w:type="gramEnd"/>
      <w:r w:rsidR="00ED1FB0">
        <w:t>.</w:t>
      </w:r>
      <w:r w:rsidR="00A2013A">
        <w:t xml:space="preserve"> </w:t>
      </w:r>
      <w:r w:rsidR="00B81DEB">
        <w:t xml:space="preserve">In other words, it is useful to be able to configure </w:t>
      </w:r>
      <w:proofErr w:type="gramStart"/>
      <w:r w:rsidR="00B81DEB">
        <w:t>whether or not</w:t>
      </w:r>
      <w:proofErr w:type="gramEnd"/>
      <w:r w:rsidR="00B81DEB">
        <w:t xml:space="preserve"> SS/PBCH blocks are allowed to shift in time or not. </w:t>
      </w:r>
      <w:r w:rsidR="008A5BCE">
        <w:t xml:space="preserve">One simple way </w:t>
      </w:r>
      <w:r w:rsidR="00933233">
        <w:t xml:space="preserve">of signaling this to the UE is </w:t>
      </w:r>
      <w:r w:rsidR="00EB468A">
        <w:t xml:space="preserve">let the absence of Q </w:t>
      </w:r>
      <w:r w:rsidR="00103392">
        <w:t xml:space="preserve">be indicative of </w:t>
      </w:r>
      <w:r w:rsidR="009F3A3F">
        <w:t>that the UE should apply the Rel-15</w:t>
      </w:r>
      <w:r w:rsidR="00103392">
        <w:t xml:space="preserve"> </w:t>
      </w:r>
      <w:r w:rsidR="007112FC">
        <w:t>method of QCL and timing determination.</w:t>
      </w:r>
      <w:r w:rsidR="000C7F5D">
        <w:t xml:space="preserve"> </w:t>
      </w:r>
      <w:r w:rsidR="00E663A0">
        <w:t xml:space="preserve">Another option could be to configure the DRS transmission window </w:t>
      </w:r>
      <w:r w:rsidR="00C82440">
        <w:t xml:space="preserve">(or discovery burst transmission window as currently adopted in the latest 38.213 CR) </w:t>
      </w:r>
      <w:r w:rsidR="00E663A0">
        <w:t>to exactly match the number of transmitted SS/PBCH blocks. This method however only works for a serving cell. For neighbor cell RRM measurements, the UE measures in the configured SMTC window. The SMTC window need</w:t>
      </w:r>
      <w:r w:rsidR="00AD3152">
        <w:t>s</w:t>
      </w:r>
      <w:r w:rsidR="00E663A0">
        <w:t xml:space="preserve"> to cover both timing differences between cells and multiple transmission opportunities due to LBT failure, thus if the SMTC window is configured to just match the number of transmitted SSBs, no margin is left to timing differences between cells, which is highly undesirable.</w:t>
      </w:r>
    </w:p>
    <w:p w14:paraId="114E0C59" w14:textId="03A6E2A8" w:rsidR="0079732D" w:rsidRDefault="0079732D">
      <w:pPr>
        <w:pStyle w:val="BodyText"/>
      </w:pPr>
    </w:p>
    <w:p w14:paraId="268B9064" w14:textId="32077821" w:rsidR="00EA7FDF" w:rsidRDefault="00107558" w:rsidP="00107558">
      <w:pPr>
        <w:pStyle w:val="Proposal"/>
      </w:pPr>
      <w:bookmarkStart w:id="8" w:name="_Ref23769350"/>
      <w:bookmarkStart w:id="9" w:name="_Ref23922301"/>
      <w:bookmarkStart w:id="10" w:name="_Toc24104648"/>
      <w:r>
        <w:t xml:space="preserve">The absence of Q </w:t>
      </w:r>
      <w:r w:rsidR="008E05A3">
        <w:t>is</w:t>
      </w:r>
      <w:r>
        <w:t xml:space="preserve"> indicative of that the UE sh</w:t>
      </w:r>
      <w:r w:rsidR="006A5382">
        <w:t>all</w:t>
      </w:r>
      <w:r>
        <w:t xml:space="preserve"> apply the Rel-15 method of QCL and timing determination</w:t>
      </w:r>
      <w:r w:rsidR="000C7F5D">
        <w:t xml:space="preserve"> where SS/PBCH blocks do not shift in time</w:t>
      </w:r>
      <w:r w:rsidR="00BF31BA">
        <w:t>.</w:t>
      </w:r>
      <w:r w:rsidR="00E663A0">
        <w:t xml:space="preserve"> For neighbor cell RRM measurements, the absence of Q in SIB2/SIB4/MeasObjectNR is used as indication.</w:t>
      </w:r>
      <w:bookmarkEnd w:id="8"/>
      <w:bookmarkEnd w:id="10"/>
      <w:r w:rsidR="00E663A0">
        <w:t xml:space="preserve"> </w:t>
      </w:r>
      <w:bookmarkEnd w:id="9"/>
    </w:p>
    <w:p w14:paraId="78099FAF" w14:textId="5C5F5F43" w:rsidR="00EA1FD0" w:rsidRDefault="00EA1FD0" w:rsidP="00321409">
      <w:pPr>
        <w:pStyle w:val="BodyText"/>
      </w:pPr>
    </w:p>
    <w:p w14:paraId="70BB6D31" w14:textId="55471D48" w:rsidR="00A5435C" w:rsidRDefault="00EF6419" w:rsidP="00EF6419">
      <w:pPr>
        <w:pStyle w:val="Heading2"/>
      </w:pPr>
      <w:r>
        <w:t xml:space="preserve">1.3 </w:t>
      </w:r>
      <w:r w:rsidR="00A5435C">
        <w:t>Type0-PDCCH</w:t>
      </w:r>
      <w:r>
        <w:t xml:space="preserve"> monitoring</w:t>
      </w:r>
    </w:p>
    <w:p w14:paraId="280F13FB" w14:textId="4CE6B38C" w:rsidR="00A5435C" w:rsidRDefault="004264CE" w:rsidP="00321409">
      <w:pPr>
        <w:pStyle w:val="BodyText"/>
      </w:pPr>
      <w:r>
        <w:t>In RAN1#98, the following agreement on</w:t>
      </w:r>
      <w:r w:rsidR="005363E3">
        <w:t xml:space="preserve"> </w:t>
      </w:r>
      <w:r w:rsidR="00432490">
        <w:t>Type0-PDCCH monitoring was made</w:t>
      </w:r>
      <w:r w:rsidR="005363E3">
        <w:t>:</w:t>
      </w:r>
    </w:p>
    <w:p w14:paraId="6D10872E" w14:textId="77777777" w:rsidR="00432490" w:rsidRPr="005E6441" w:rsidRDefault="00432490" w:rsidP="00432490">
      <w:pPr>
        <w:spacing w:after="0" w:line="276" w:lineRule="auto"/>
        <w:jc w:val="both"/>
        <w:rPr>
          <w:rFonts w:ascii="Times New Roman" w:eastAsia="Times New Roman" w:hAnsi="Times New Roman" w:cs="Times New Roman"/>
          <w:sz w:val="24"/>
          <w:szCs w:val="24"/>
          <w:lang w:eastAsia="sv-SE"/>
        </w:rPr>
      </w:pPr>
      <w:r w:rsidRPr="005E6441">
        <w:rPr>
          <w:rFonts w:ascii="Times" w:eastAsiaTheme="minorEastAsia" w:hAnsi="Times" w:cs="Times"/>
          <w:color w:val="000000" w:themeColor="text1"/>
          <w:kern w:val="24"/>
          <w:sz w:val="20"/>
          <w:szCs w:val="20"/>
          <w:highlight w:val="green"/>
          <w:lang w:val="en-GB" w:eastAsia="sv-SE"/>
        </w:rPr>
        <w:t>Agreement:</w:t>
      </w:r>
    </w:p>
    <w:p w14:paraId="2E1EEF77" w14:textId="77777777" w:rsidR="00432490" w:rsidRPr="005E6441" w:rsidRDefault="00432490" w:rsidP="00432490">
      <w:pPr>
        <w:spacing w:after="0" w:line="276" w:lineRule="auto"/>
        <w:jc w:val="both"/>
        <w:rPr>
          <w:rFonts w:ascii="Times New Roman" w:eastAsia="Times New Roman" w:hAnsi="Times New Roman" w:cs="Times New Roman"/>
          <w:sz w:val="24"/>
          <w:szCs w:val="24"/>
          <w:lang w:eastAsia="sv-SE"/>
        </w:rPr>
      </w:pPr>
      <w:r w:rsidRPr="005E6441">
        <w:rPr>
          <w:rFonts w:ascii="Times" w:eastAsiaTheme="minorEastAsia" w:hAnsi="Times" w:cs="Times"/>
          <w:color w:val="000000" w:themeColor="text1"/>
          <w:kern w:val="24"/>
          <w:sz w:val="20"/>
          <w:szCs w:val="20"/>
          <w:lang w:val="en-GB" w:eastAsia="sv-SE"/>
        </w:rPr>
        <w:t>If Q is known, candidate monitoring slots for Type0 PDCCH search space are the PDCCH monitoring slots associated with SS/PBCH blocks that are QCL with the SS/PBCH block from which the UE determines that a CORESET for Type0-PDCCH CSS set is present</w:t>
      </w:r>
    </w:p>
    <w:p w14:paraId="73D57687" w14:textId="77777777" w:rsidR="00432490" w:rsidRPr="005E6441" w:rsidRDefault="00432490" w:rsidP="00432490">
      <w:pPr>
        <w:numPr>
          <w:ilvl w:val="0"/>
          <w:numId w:val="32"/>
        </w:numPr>
        <w:spacing w:after="0" w:line="276" w:lineRule="auto"/>
        <w:ind w:left="1267"/>
        <w:contextualSpacing/>
        <w:jc w:val="both"/>
        <w:rPr>
          <w:rFonts w:ascii="Times New Roman" w:eastAsia="Times New Roman" w:hAnsi="Times New Roman" w:cs="Times New Roman"/>
          <w:sz w:val="20"/>
          <w:szCs w:val="24"/>
          <w:lang w:eastAsia="sv-SE"/>
        </w:rPr>
      </w:pPr>
      <w:r w:rsidRPr="005E6441">
        <w:rPr>
          <w:rFonts w:ascii="Times" w:eastAsiaTheme="minorEastAsia" w:hAnsi="Times" w:cs="Times"/>
          <w:color w:val="000000" w:themeColor="text1"/>
          <w:kern w:val="24"/>
          <w:sz w:val="20"/>
          <w:szCs w:val="20"/>
          <w:lang w:val="en-GB" w:eastAsia="sv-SE"/>
        </w:rPr>
        <w:t>Note: Q may be always known depending on where Q is signalled. This aspect is to be discussed further.</w:t>
      </w:r>
    </w:p>
    <w:p w14:paraId="2F6A4A30" w14:textId="77777777" w:rsidR="00147EC8" w:rsidRDefault="00147EC8" w:rsidP="00321409">
      <w:pPr>
        <w:pStyle w:val="BodyText"/>
      </w:pPr>
    </w:p>
    <w:p w14:paraId="7EF6FA77" w14:textId="5C7345E9" w:rsidR="00ED08F8" w:rsidRDefault="00ED08F8" w:rsidP="00321409">
      <w:pPr>
        <w:pStyle w:val="BodyText"/>
      </w:pPr>
      <w:r>
        <w:t>and in RAN1#98b a further related agreement was made</w:t>
      </w:r>
    </w:p>
    <w:p w14:paraId="02734D89" w14:textId="77777777" w:rsidR="00ED08F8" w:rsidRPr="00ED08F8" w:rsidRDefault="00ED08F8" w:rsidP="00ED08F8">
      <w:pPr>
        <w:spacing w:after="0" w:line="240" w:lineRule="auto"/>
        <w:rPr>
          <w:rFonts w:ascii="Times" w:eastAsia="Batang" w:hAnsi="Times" w:cs="Times New Roman"/>
          <w:sz w:val="20"/>
          <w:szCs w:val="24"/>
          <w:lang w:val="en-GB" w:eastAsia="x-none"/>
        </w:rPr>
      </w:pPr>
      <w:r w:rsidRPr="00ED08F8">
        <w:rPr>
          <w:rFonts w:ascii="Times" w:eastAsia="Batang" w:hAnsi="Times" w:cs="Times New Roman"/>
          <w:sz w:val="20"/>
          <w:szCs w:val="24"/>
          <w:highlight w:val="green"/>
          <w:lang w:val="en-GB" w:eastAsia="x-none"/>
        </w:rPr>
        <w:t>Agreement:</w:t>
      </w:r>
    </w:p>
    <w:p w14:paraId="1C7236DF" w14:textId="77777777" w:rsidR="00ED08F8" w:rsidRPr="00ED08F8" w:rsidRDefault="00ED08F8" w:rsidP="00ED08F8">
      <w:pPr>
        <w:numPr>
          <w:ilvl w:val="0"/>
          <w:numId w:val="43"/>
        </w:numPr>
        <w:spacing w:after="0" w:line="240" w:lineRule="auto"/>
        <w:ind w:left="360"/>
        <w:rPr>
          <w:rFonts w:ascii="Times" w:eastAsia="Batang" w:hAnsi="Times" w:cs="Times New Roman"/>
          <w:sz w:val="20"/>
          <w:szCs w:val="24"/>
          <w:lang w:val="en-GB" w:eastAsia="x-none"/>
        </w:rPr>
      </w:pPr>
      <w:r w:rsidRPr="00ED08F8">
        <w:rPr>
          <w:rFonts w:ascii="Times" w:eastAsia="Batang" w:hAnsi="Times" w:cs="Times New Roman"/>
          <w:sz w:val="20"/>
          <w:szCs w:val="24"/>
          <w:lang w:val="en-GB" w:eastAsia="x-none"/>
        </w:rPr>
        <w:lastRenderedPageBreak/>
        <w:t>No further down selection is made for set of Q values, i.e., Q = {1,2,4,8} (resolves FFS of prior agreement on Q values)</w:t>
      </w:r>
    </w:p>
    <w:p w14:paraId="64AFC208" w14:textId="77777777" w:rsidR="00ED08F8" w:rsidRPr="00ED08F8" w:rsidRDefault="00ED08F8" w:rsidP="00ED08F8">
      <w:pPr>
        <w:numPr>
          <w:ilvl w:val="0"/>
          <w:numId w:val="55"/>
        </w:numPr>
        <w:spacing w:after="0" w:line="240" w:lineRule="auto"/>
        <w:ind w:left="720"/>
        <w:rPr>
          <w:rFonts w:ascii="Times" w:eastAsia="Batang" w:hAnsi="Times" w:cs="Times New Roman"/>
          <w:sz w:val="20"/>
          <w:szCs w:val="24"/>
          <w:lang w:val="en-GB" w:eastAsia="x-none"/>
        </w:rPr>
      </w:pPr>
      <w:r w:rsidRPr="00ED08F8">
        <w:rPr>
          <w:rFonts w:ascii="Times" w:eastAsia="Batang" w:hAnsi="Times" w:cs="Times New Roman"/>
          <w:sz w:val="20"/>
          <w:szCs w:val="24"/>
          <w:lang w:val="en-GB" w:eastAsia="x-none"/>
        </w:rPr>
        <w:t>UE does not expect to be configured with two Type-0 PDCCH monitoring occasions in a slot with Q=1.</w:t>
      </w:r>
    </w:p>
    <w:p w14:paraId="45B3A684" w14:textId="77777777" w:rsidR="00ED08F8" w:rsidRPr="00ED08F8" w:rsidRDefault="00ED08F8" w:rsidP="00ED08F8">
      <w:pPr>
        <w:numPr>
          <w:ilvl w:val="0"/>
          <w:numId w:val="55"/>
        </w:numPr>
        <w:spacing w:after="0" w:line="240" w:lineRule="auto"/>
        <w:ind w:left="720"/>
        <w:rPr>
          <w:rFonts w:ascii="Times" w:eastAsia="Batang" w:hAnsi="Times" w:cs="Times New Roman"/>
          <w:sz w:val="20"/>
          <w:szCs w:val="24"/>
          <w:lang w:val="en-GB" w:eastAsia="x-none"/>
        </w:rPr>
      </w:pPr>
      <w:r w:rsidRPr="00ED08F8">
        <w:rPr>
          <w:rFonts w:ascii="Times" w:eastAsia="Batang" w:hAnsi="Times" w:cs="Times New Roman"/>
          <w:sz w:val="20"/>
          <w:szCs w:val="24"/>
          <w:lang w:val="en-GB" w:eastAsia="x-none"/>
        </w:rPr>
        <w:t xml:space="preserve">Note: This does not imply a change in Rel-15 </w:t>
      </w:r>
      <w:proofErr w:type="spellStart"/>
      <w:r w:rsidRPr="00ED08F8">
        <w:rPr>
          <w:rFonts w:ascii="Times" w:eastAsia="Batang" w:hAnsi="Times" w:cs="Times New Roman"/>
          <w:sz w:val="20"/>
          <w:szCs w:val="24"/>
          <w:lang w:val="en-GB" w:eastAsia="x-none"/>
        </w:rPr>
        <w:t>behavior</w:t>
      </w:r>
      <w:proofErr w:type="spellEnd"/>
      <w:r w:rsidRPr="00ED08F8">
        <w:rPr>
          <w:rFonts w:ascii="Times" w:eastAsia="Batang" w:hAnsi="Times" w:cs="Times New Roman"/>
          <w:sz w:val="20"/>
          <w:szCs w:val="24"/>
          <w:lang w:val="en-GB" w:eastAsia="x-none"/>
        </w:rPr>
        <w:t xml:space="preserve"> for Type-0 PDCCH monitoring in two consecutive slots.</w:t>
      </w:r>
    </w:p>
    <w:p w14:paraId="1807E83A" w14:textId="77777777" w:rsidR="00ED08F8" w:rsidRPr="00ED08F8" w:rsidRDefault="00ED08F8" w:rsidP="00ED08F8">
      <w:pPr>
        <w:numPr>
          <w:ilvl w:val="0"/>
          <w:numId w:val="55"/>
        </w:numPr>
        <w:spacing w:after="0" w:line="240" w:lineRule="auto"/>
        <w:ind w:left="720"/>
        <w:rPr>
          <w:rFonts w:ascii="Times" w:eastAsia="Batang" w:hAnsi="Times" w:cs="Times New Roman"/>
          <w:sz w:val="20"/>
          <w:szCs w:val="24"/>
          <w:lang w:val="en-GB" w:eastAsia="x-none"/>
        </w:rPr>
      </w:pPr>
      <w:r w:rsidRPr="00ED08F8">
        <w:rPr>
          <w:rFonts w:ascii="Times" w:eastAsia="Batang" w:hAnsi="Times" w:cs="Times New Roman"/>
          <w:sz w:val="20"/>
          <w:szCs w:val="24"/>
          <w:lang w:val="en-GB" w:eastAsia="x-none"/>
        </w:rPr>
        <w:t>Note: This agreement does not imply any changes to Rel-15 PDCCH monitoring requirements on BD/CCE limits per slot</w:t>
      </w:r>
    </w:p>
    <w:p w14:paraId="0264BD7C" w14:textId="77777777" w:rsidR="00ED08F8" w:rsidRPr="00ED08F8" w:rsidRDefault="00ED08F8" w:rsidP="00ED08F8">
      <w:pPr>
        <w:numPr>
          <w:ilvl w:val="0"/>
          <w:numId w:val="43"/>
        </w:numPr>
        <w:spacing w:after="0" w:line="240" w:lineRule="auto"/>
        <w:ind w:left="360"/>
        <w:rPr>
          <w:rFonts w:ascii="Times" w:eastAsia="Batang" w:hAnsi="Times" w:cs="Times New Roman"/>
          <w:sz w:val="20"/>
          <w:szCs w:val="24"/>
          <w:lang w:val="en-GB" w:eastAsia="x-none"/>
        </w:rPr>
      </w:pPr>
      <w:r w:rsidRPr="00ED08F8">
        <w:rPr>
          <w:rFonts w:ascii="Times" w:eastAsia="Batang" w:hAnsi="Times" w:cs="Times New Roman"/>
          <w:sz w:val="20"/>
          <w:szCs w:val="24"/>
          <w:lang w:val="en-GB" w:eastAsia="x-none"/>
        </w:rPr>
        <w:t>RAN4 requirements for SSB detection during initial cell search should be defined assuming Q = 8. This assumption does not have any other specification impact.</w:t>
      </w:r>
    </w:p>
    <w:p w14:paraId="6DC5EB4D" w14:textId="77777777" w:rsidR="00ED08F8" w:rsidRPr="00ED08F8" w:rsidRDefault="00ED08F8" w:rsidP="00ED08F8">
      <w:pPr>
        <w:numPr>
          <w:ilvl w:val="1"/>
          <w:numId w:val="43"/>
        </w:numPr>
        <w:spacing w:after="0" w:line="240" w:lineRule="auto"/>
        <w:rPr>
          <w:rFonts w:ascii="Times" w:eastAsia="Batang" w:hAnsi="Times" w:cs="Times New Roman"/>
          <w:sz w:val="20"/>
          <w:szCs w:val="24"/>
          <w:lang w:val="en-GB" w:eastAsia="x-none"/>
        </w:rPr>
      </w:pPr>
      <w:r w:rsidRPr="00ED08F8">
        <w:rPr>
          <w:rFonts w:ascii="Times" w:eastAsia="Batang" w:hAnsi="Times" w:cs="Times New Roman"/>
          <w:sz w:val="20"/>
          <w:szCs w:val="24"/>
          <w:lang w:val="en-GB" w:eastAsia="x-none"/>
        </w:rPr>
        <w:t xml:space="preserve">Include this agreement in </w:t>
      </w:r>
      <w:proofErr w:type="gramStart"/>
      <w:r w:rsidRPr="00ED08F8">
        <w:rPr>
          <w:rFonts w:ascii="Times" w:eastAsia="Batang" w:hAnsi="Times" w:cs="Times New Roman"/>
          <w:sz w:val="20"/>
          <w:szCs w:val="24"/>
          <w:lang w:val="en-GB" w:eastAsia="x-none"/>
        </w:rPr>
        <w:t>an</w:t>
      </w:r>
      <w:proofErr w:type="gramEnd"/>
      <w:r w:rsidRPr="00ED08F8">
        <w:rPr>
          <w:rFonts w:ascii="Times" w:eastAsia="Batang" w:hAnsi="Times" w:cs="Times New Roman"/>
          <w:sz w:val="20"/>
          <w:szCs w:val="24"/>
          <w:lang w:val="en-GB" w:eastAsia="x-none"/>
        </w:rPr>
        <w:t xml:space="preserve"> LS to RAN4 asking them to take this into account. The LS should also provide an overview on the definition of Q.</w:t>
      </w:r>
    </w:p>
    <w:p w14:paraId="4D4DDF60" w14:textId="77777777" w:rsidR="00ED08F8" w:rsidRPr="00ED20EF" w:rsidRDefault="00ED08F8" w:rsidP="00321409">
      <w:pPr>
        <w:pStyle w:val="BodyText"/>
        <w:rPr>
          <w:lang w:val="en-GB"/>
        </w:rPr>
      </w:pPr>
    </w:p>
    <w:p w14:paraId="1D291593" w14:textId="4A7C15D1" w:rsidR="00ED08F8" w:rsidRDefault="000841A9" w:rsidP="00321409">
      <w:pPr>
        <w:pStyle w:val="BodyText"/>
      </w:pPr>
      <w:r>
        <w:t>As discussed in Section 1.1, Q is known to the UE</w:t>
      </w:r>
      <w:r w:rsidR="00147EC8">
        <w:t xml:space="preserve"> except for the case of initial cell selection. </w:t>
      </w:r>
      <w:bookmarkStart w:id="11" w:name="_Hlk24024822"/>
      <w:r w:rsidR="00A97ADF">
        <w:t>For that case</w:t>
      </w:r>
      <w:r w:rsidR="006B37FA">
        <w:t xml:space="preserve"> </w:t>
      </w:r>
      <w:r w:rsidR="004B4EC6">
        <w:t xml:space="preserve">(Q </w:t>
      </w:r>
      <w:r w:rsidR="00C247E5">
        <w:t>un</w:t>
      </w:r>
      <w:r w:rsidR="004B4EC6">
        <w:t xml:space="preserve">known) </w:t>
      </w:r>
      <w:r w:rsidR="00ED08F8" w:rsidRPr="00ED08F8">
        <w:t xml:space="preserve">the UE should monitor every </w:t>
      </w:r>
      <w:r w:rsidR="00ED08F8" w:rsidRPr="00ED20EF">
        <w:rPr>
          <w:i/>
        </w:rPr>
        <w:t>allowed</w:t>
      </w:r>
      <w:r w:rsidR="00ED08F8" w:rsidRPr="00ED08F8">
        <w:t xml:space="preserve"> Type0 PDCCH CSS monitoring occasion (in the DRS transmission window) </w:t>
      </w:r>
      <w:r w:rsidR="008D1890">
        <w:t xml:space="preserve">that could be </w:t>
      </w:r>
      <w:r w:rsidR="00ED08F8" w:rsidRPr="00ED08F8">
        <w:t>associated with the SS/PBCH block from which the UE determined that a CORESET for Type0-PDCCH CSS set is present.</w:t>
      </w:r>
      <w:r w:rsidR="00ED08F8">
        <w:t xml:space="preserve"> </w:t>
      </w:r>
      <w:r w:rsidR="00F03895">
        <w:t>By</w:t>
      </w:r>
      <w:r w:rsidR="00ED08F8">
        <w:t xml:space="preserve"> </w:t>
      </w:r>
      <w:r w:rsidR="00F03895">
        <w:t>“</w:t>
      </w:r>
      <w:r w:rsidR="00ED08F8">
        <w:t>allowed</w:t>
      </w:r>
      <w:r w:rsidR="00F03895">
        <w:t>”</w:t>
      </w:r>
      <w:r w:rsidR="00ED08F8">
        <w:t xml:space="preserve"> we </w:t>
      </w:r>
      <w:r w:rsidR="00F03895">
        <w:t>mean</w:t>
      </w:r>
      <w:r w:rsidR="00ED08F8">
        <w:t xml:space="preserve"> that the UE </w:t>
      </w:r>
      <w:r w:rsidR="00F03895">
        <w:t>is</w:t>
      </w:r>
      <w:r w:rsidR="00ED08F8">
        <w:t xml:space="preserve"> not </w:t>
      </w:r>
      <w:proofErr w:type="gramStart"/>
      <w:r w:rsidR="00ED08F8">
        <w:t>expect</w:t>
      </w:r>
      <w:proofErr w:type="gramEnd"/>
      <w:r w:rsidR="00ED08F8">
        <w:t xml:space="preserve"> to be configured with two Type-0 PDCCH monitoring occasions in a slot if Q=1</w:t>
      </w:r>
      <w:r w:rsidR="00F03895">
        <w:t>, as agreed in RAN1#98b.</w:t>
      </w:r>
    </w:p>
    <w:p w14:paraId="38751FCC" w14:textId="53A92B93" w:rsidR="0079383F" w:rsidRDefault="00ED08F8" w:rsidP="00E22914">
      <w:pPr>
        <w:pStyle w:val="Proposal"/>
      </w:pPr>
      <w:bookmarkStart w:id="12" w:name="_Hlk23949425"/>
      <w:bookmarkStart w:id="13" w:name="_Toc24104649"/>
      <w:bookmarkStart w:id="14" w:name="_Toc24104650"/>
      <w:bookmarkEnd w:id="11"/>
      <w:bookmarkEnd w:id="13"/>
      <w:r w:rsidRPr="00ED08F8">
        <w:t xml:space="preserve">If Q is </w:t>
      </w:r>
      <w:r>
        <w:t>un</w:t>
      </w:r>
      <w:r w:rsidRPr="00ED08F8">
        <w:t xml:space="preserve">known to the UE, the UE should monitor every allowed Type0 PDCCH CSS monitoring occasion (in the DRS transmission window) </w:t>
      </w:r>
      <w:r w:rsidR="00C247E5">
        <w:t xml:space="preserve">that could be (Q unknown) </w:t>
      </w:r>
      <w:r w:rsidRPr="00ED08F8">
        <w:t>associated with the SS/PBCH block from which the UE determined that a CORESET for Type0-PDCCH CSS set is present.</w:t>
      </w:r>
      <w:bookmarkEnd w:id="14"/>
    </w:p>
    <w:bookmarkEnd w:id="12"/>
    <w:p w14:paraId="72826DFA" w14:textId="63406358" w:rsidR="005E469C" w:rsidRDefault="005E469C" w:rsidP="00321409">
      <w:pPr>
        <w:pStyle w:val="BodyText"/>
      </w:pPr>
      <w:r>
        <w:t xml:space="preserve">Note that for </w:t>
      </w:r>
      <w:r w:rsidR="00605CE0">
        <w:t>other type</w:t>
      </w:r>
      <w:r w:rsidR="00A54F0D">
        <w:t>s</w:t>
      </w:r>
      <w:r w:rsidR="00605CE0">
        <w:t xml:space="preserve"> of PDCCH </w:t>
      </w:r>
      <w:r w:rsidR="00F87D4D">
        <w:t>CSS</w:t>
      </w:r>
      <w:r w:rsidR="00687B26">
        <w:t xml:space="preserve"> </w:t>
      </w:r>
      <w:r w:rsidR="0089345B">
        <w:t>monitoring</w:t>
      </w:r>
      <w:r w:rsidR="00C70BA6">
        <w:t>,</w:t>
      </w:r>
      <w:r w:rsidR="00605CE0">
        <w:t xml:space="preserve"> e.g. </w:t>
      </w:r>
      <w:r>
        <w:t>Type0A</w:t>
      </w:r>
      <w:r w:rsidR="00921E50">
        <w:t xml:space="preserve"> (other system information)</w:t>
      </w:r>
      <w:r w:rsidR="00605CE0">
        <w:t xml:space="preserve">, Type1 </w:t>
      </w:r>
      <w:r w:rsidR="00921E50">
        <w:t xml:space="preserve">(random access response) </w:t>
      </w:r>
      <w:r w:rsidR="00605CE0">
        <w:t>and Type2</w:t>
      </w:r>
      <w:r w:rsidR="00921E50">
        <w:t xml:space="preserve"> (paging)</w:t>
      </w:r>
      <w:r w:rsidR="00C70BA6">
        <w:t xml:space="preserve">, Q is known to the </w:t>
      </w:r>
      <w:r w:rsidR="006921CD">
        <w:t xml:space="preserve">UE </w:t>
      </w:r>
      <w:r w:rsidR="00997FA3">
        <w:t>because</w:t>
      </w:r>
      <w:r w:rsidR="006921CD">
        <w:t xml:space="preserve"> such monitoring occurs after reading SIB1</w:t>
      </w:r>
      <w:r w:rsidR="00C41733">
        <w:t xml:space="preserve"> for the initial cell selection case.</w:t>
      </w:r>
      <w:r w:rsidR="00605CE0">
        <w:t xml:space="preserve"> </w:t>
      </w:r>
    </w:p>
    <w:p w14:paraId="6F881326" w14:textId="4F956944" w:rsidR="00A1044C" w:rsidRDefault="004D5D91" w:rsidP="004D5D91">
      <w:pPr>
        <w:pStyle w:val="Heading1"/>
      </w:pPr>
      <w:r>
        <w:t xml:space="preserve">2 </w:t>
      </w:r>
      <w:r>
        <w:tab/>
      </w:r>
      <w:r w:rsidR="00A1044C">
        <w:t>DRS transmission window</w:t>
      </w:r>
      <w:r w:rsidR="008C3F8C">
        <w:t xml:space="preserve"> </w:t>
      </w:r>
    </w:p>
    <w:p w14:paraId="645EAA5E" w14:textId="4DDE23EC" w:rsidR="0048449E" w:rsidRPr="001C585A" w:rsidRDefault="0048449E" w:rsidP="0048449E">
      <w:pPr>
        <w:pStyle w:val="BodyText"/>
      </w:pPr>
      <w:r w:rsidRPr="001C585A">
        <w:t>In RAN1#</w:t>
      </w:r>
      <w:r w:rsidR="00C35B56" w:rsidRPr="001C585A">
        <w:t>9</w:t>
      </w:r>
      <w:r w:rsidR="00C35B56">
        <w:t>8</w:t>
      </w:r>
      <w:r w:rsidR="00C35B56" w:rsidRPr="001C585A">
        <w:t>bis</w:t>
      </w:r>
      <w:r w:rsidRPr="001C585A">
        <w:t>, the following agreement was made with respect to the DRS transmission:</w:t>
      </w:r>
    </w:p>
    <w:p w14:paraId="721D1278" w14:textId="77777777" w:rsidR="00C35B56" w:rsidRPr="00C35B56" w:rsidRDefault="00C35B56" w:rsidP="00C35B56">
      <w:pPr>
        <w:spacing w:after="0" w:line="276" w:lineRule="auto"/>
        <w:contextualSpacing/>
        <w:jc w:val="both"/>
        <w:rPr>
          <w:rFonts w:ascii="Times" w:eastAsia="Batang" w:hAnsi="Times" w:cs="Times New Roman"/>
          <w:sz w:val="20"/>
          <w:szCs w:val="24"/>
          <w:lang w:val="en-GB" w:eastAsia="x-none"/>
        </w:rPr>
      </w:pPr>
      <w:r w:rsidRPr="00C35B56">
        <w:rPr>
          <w:rFonts w:ascii="Times" w:eastAsia="Batang" w:hAnsi="Times" w:cs="Times New Roman"/>
          <w:sz w:val="20"/>
          <w:szCs w:val="24"/>
          <w:highlight w:val="green"/>
          <w:lang w:val="en-GB" w:eastAsia="x-none"/>
        </w:rPr>
        <w:t>Agreement:</w:t>
      </w:r>
    </w:p>
    <w:p w14:paraId="605A680C" w14:textId="77777777" w:rsidR="00C35B56" w:rsidRPr="00C35B56" w:rsidRDefault="00C35B56" w:rsidP="00C35B56">
      <w:pPr>
        <w:spacing w:after="0" w:line="276" w:lineRule="auto"/>
        <w:contextualSpacing/>
        <w:jc w:val="both"/>
        <w:rPr>
          <w:rFonts w:ascii="Times" w:eastAsia="Batang" w:hAnsi="Times" w:cs="Times New Roman"/>
          <w:sz w:val="20"/>
          <w:szCs w:val="24"/>
          <w:lang w:val="en-GB" w:eastAsia="x-none"/>
        </w:rPr>
      </w:pPr>
      <w:r w:rsidRPr="00C35B56">
        <w:rPr>
          <w:rFonts w:ascii="Times" w:eastAsia="Batang" w:hAnsi="Times" w:cs="Times New Roman"/>
          <w:sz w:val="20"/>
          <w:szCs w:val="24"/>
          <w:lang w:val="en-GB" w:eastAsia="x-none"/>
        </w:rPr>
        <w:t>Support configuration of the DRS transmission window duration of a UE’s serving cell(s)</w:t>
      </w:r>
    </w:p>
    <w:p w14:paraId="07568847" w14:textId="77777777" w:rsidR="00C35B56" w:rsidRPr="00C35B56" w:rsidRDefault="00C35B56" w:rsidP="00C35B56">
      <w:pPr>
        <w:numPr>
          <w:ilvl w:val="0"/>
          <w:numId w:val="46"/>
        </w:numPr>
        <w:spacing w:after="0" w:line="276" w:lineRule="auto"/>
        <w:contextualSpacing/>
        <w:jc w:val="both"/>
        <w:rPr>
          <w:rFonts w:ascii="Times" w:eastAsia="Batang" w:hAnsi="Times" w:cs="Times New Roman"/>
          <w:sz w:val="20"/>
          <w:szCs w:val="24"/>
          <w:lang w:val="en-GB" w:eastAsia="x-none"/>
        </w:rPr>
      </w:pPr>
      <w:r w:rsidRPr="00C35B56">
        <w:rPr>
          <w:rFonts w:ascii="Times" w:eastAsia="Batang" w:hAnsi="Times" w:cs="Times New Roman"/>
          <w:sz w:val="20"/>
          <w:szCs w:val="24"/>
          <w:lang w:val="en-GB" w:eastAsia="x-none"/>
        </w:rPr>
        <w:t>DRS transmission window periodicity is the same as the configuration of SSB burst periodicity</w:t>
      </w:r>
    </w:p>
    <w:p w14:paraId="1DB6BF32" w14:textId="77777777" w:rsidR="00C35B56" w:rsidRPr="00C35B56" w:rsidRDefault="00C35B56" w:rsidP="00C35B56">
      <w:pPr>
        <w:numPr>
          <w:ilvl w:val="0"/>
          <w:numId w:val="46"/>
        </w:numPr>
        <w:spacing w:after="0" w:line="276" w:lineRule="auto"/>
        <w:contextualSpacing/>
        <w:jc w:val="both"/>
        <w:rPr>
          <w:rFonts w:ascii="Times" w:eastAsia="Batang" w:hAnsi="Times" w:cs="Times New Roman"/>
          <w:sz w:val="20"/>
          <w:szCs w:val="24"/>
          <w:lang w:val="en-GB" w:eastAsia="x-none"/>
        </w:rPr>
      </w:pPr>
      <w:r w:rsidRPr="00C35B56">
        <w:rPr>
          <w:rFonts w:ascii="Times" w:eastAsia="Batang" w:hAnsi="Times" w:cs="Times New Roman"/>
          <w:sz w:val="20"/>
          <w:szCs w:val="24"/>
          <w:lang w:val="en-GB" w:eastAsia="x-none"/>
        </w:rPr>
        <w:t>Note: RAN4 performance requirements depending on the DRS transmission window size, e.g., RRM, will assume a DRS transmission window size of 5 ms</w:t>
      </w:r>
    </w:p>
    <w:p w14:paraId="65FA61A9" w14:textId="77777777" w:rsidR="00C35B56" w:rsidRPr="00321409" w:rsidRDefault="00C35B56" w:rsidP="0048449E">
      <w:pPr>
        <w:spacing w:after="0" w:line="240" w:lineRule="auto"/>
        <w:rPr>
          <w:rFonts w:ascii="Times" w:eastAsia="Batang" w:hAnsi="Times" w:cs="Times New Roman"/>
          <w:szCs w:val="24"/>
          <w:lang w:eastAsia="x-none"/>
        </w:rPr>
      </w:pPr>
    </w:p>
    <w:p w14:paraId="2477C423" w14:textId="11CE2728" w:rsidR="00A1044C" w:rsidRDefault="005101B9" w:rsidP="00321409">
      <w:pPr>
        <w:pStyle w:val="BodyText"/>
      </w:pPr>
      <w:r>
        <w:t>In the “</w:t>
      </w:r>
      <w:r w:rsidRPr="005101B9">
        <w:t>Summary of RRC parameters for NR-U up to RAN1</w:t>
      </w:r>
      <w:r>
        <w:t xml:space="preserve">” </w:t>
      </w:r>
      <w:r>
        <w:fldChar w:fldCharType="begin"/>
      </w:r>
      <w:r>
        <w:instrText xml:space="preserve"> REF _Ref23765939 \r \h </w:instrText>
      </w:r>
      <w:r>
        <w:fldChar w:fldCharType="separate"/>
      </w:r>
      <w:r w:rsidR="009200D5">
        <w:t>[11]</w:t>
      </w:r>
      <w:r>
        <w:fldChar w:fldCharType="end"/>
      </w:r>
      <w:r>
        <w:t xml:space="preserve">, it is agreed that the parameter </w:t>
      </w:r>
      <w:r w:rsidRPr="00ED20EF">
        <w:rPr>
          <w:i/>
        </w:rPr>
        <w:t>DRS-WindowLength-r16</w:t>
      </w:r>
      <w:r>
        <w:t xml:space="preserve"> is signaled in </w:t>
      </w:r>
      <w:r w:rsidRPr="00ED20EF">
        <w:rPr>
          <w:i/>
        </w:rPr>
        <w:t>ServingCellConfigCommon</w:t>
      </w:r>
      <w:r>
        <w:t xml:space="preserve"> and </w:t>
      </w:r>
      <w:r w:rsidRPr="00ED20EF">
        <w:rPr>
          <w:i/>
        </w:rPr>
        <w:t>ServingCellConfigCommonSIB</w:t>
      </w:r>
      <w:r>
        <w:t xml:space="preserve">. Before the UE has read SIB1 it needs to assume </w:t>
      </w:r>
      <w:r w:rsidR="00D862AB">
        <w:t xml:space="preserve">a </w:t>
      </w:r>
      <w:r>
        <w:t>window length. To allow any possible window length to be used by a cell, we propose that the UE assumes the maximum value, i.e. 5</w:t>
      </w:r>
      <w:r w:rsidR="00AE2823">
        <w:t xml:space="preserve"> </w:t>
      </w:r>
      <w:r>
        <w:t>ms.</w:t>
      </w:r>
    </w:p>
    <w:p w14:paraId="77A574F3" w14:textId="0045503D" w:rsidR="005101B9" w:rsidRPr="00321409" w:rsidRDefault="00AE2823" w:rsidP="00ED20EF">
      <w:pPr>
        <w:pStyle w:val="Proposal"/>
      </w:pPr>
      <w:bookmarkStart w:id="15" w:name="_Toc24104651"/>
      <w:r>
        <w:t xml:space="preserve">For initial access, the UE assumes a </w:t>
      </w:r>
      <w:r w:rsidR="0031029F">
        <w:t xml:space="preserve">default </w:t>
      </w:r>
      <w:r w:rsidRPr="00321409">
        <w:t>DRS</w:t>
      </w:r>
      <w:r w:rsidR="005101B9" w:rsidRPr="00321409">
        <w:t xml:space="preserve"> transmission window duration </w:t>
      </w:r>
      <w:r>
        <w:t>of 5 ms</w:t>
      </w:r>
      <w:r w:rsidR="005101B9" w:rsidRPr="00321409">
        <w:t>.</w:t>
      </w:r>
      <w:bookmarkEnd w:id="15"/>
      <w:r w:rsidR="005101B9" w:rsidRPr="00321409">
        <w:t xml:space="preserve"> </w:t>
      </w:r>
    </w:p>
    <w:p w14:paraId="0F3A83F0" w14:textId="31F422CE" w:rsidR="00791980" w:rsidRDefault="001A1E11" w:rsidP="001A1E11">
      <w:pPr>
        <w:pStyle w:val="Heading1"/>
      </w:pPr>
      <w:r>
        <w:t>3</w:t>
      </w:r>
      <w:r w:rsidR="00791980">
        <w:t xml:space="preserve"> </w:t>
      </w:r>
      <w:r>
        <w:tab/>
      </w:r>
      <w:r w:rsidR="00791980">
        <w:t>SS/PBCH block index</w:t>
      </w:r>
    </w:p>
    <w:p w14:paraId="2CB3B82A" w14:textId="0E44169B" w:rsidR="00D219C2" w:rsidRDefault="00791980" w:rsidP="00791980">
      <w:pPr>
        <w:pStyle w:val="BodyText"/>
        <w:rPr>
          <w:lang w:val="en-GB"/>
        </w:rPr>
      </w:pPr>
      <w:r>
        <w:rPr>
          <w:lang w:val="en-GB"/>
        </w:rPr>
        <w:t xml:space="preserve">Rel-15 specifications makes heavy use of the term SS/PBCH block index. In Rel-15 an SS/PBCH candidate position and an SS/PBCH block index </w:t>
      </w:r>
      <w:r w:rsidR="00833B15">
        <w:rPr>
          <w:lang w:val="en-GB"/>
        </w:rPr>
        <w:t>are</w:t>
      </w:r>
      <w:r>
        <w:rPr>
          <w:lang w:val="en-GB"/>
        </w:rPr>
        <w:t xml:space="preserve"> synonymous, because the SS</w:t>
      </w:r>
      <w:r w:rsidR="00D862AB">
        <w:rPr>
          <w:lang w:val="en-GB"/>
        </w:rPr>
        <w:t>/P</w:t>
      </w:r>
      <w:r>
        <w:rPr>
          <w:lang w:val="en-GB"/>
        </w:rPr>
        <w:t>B</w:t>
      </w:r>
      <w:r w:rsidR="00D862AB">
        <w:rPr>
          <w:lang w:val="en-GB"/>
        </w:rPr>
        <w:t>CH blocks</w:t>
      </w:r>
      <w:r>
        <w:rPr>
          <w:lang w:val="en-GB"/>
        </w:rPr>
        <w:t xml:space="preserve"> are always transmitted at the same time location. </w:t>
      </w:r>
      <w:r w:rsidR="00D219C2">
        <w:rPr>
          <w:lang w:val="en-GB"/>
        </w:rPr>
        <w:t>Both terms are introduced in the following section of 38.213:</w:t>
      </w:r>
    </w:p>
    <w:tbl>
      <w:tblPr>
        <w:tblStyle w:val="TableGrid"/>
        <w:tblW w:w="0" w:type="auto"/>
        <w:tblLook w:val="04A0" w:firstRow="1" w:lastRow="0" w:firstColumn="1" w:lastColumn="0" w:noHBand="0" w:noVBand="1"/>
      </w:tblPr>
      <w:tblGrid>
        <w:gridCol w:w="9629"/>
      </w:tblGrid>
      <w:tr w:rsidR="00D219C2" w14:paraId="4C2EA138" w14:textId="77777777" w:rsidTr="00D219C2">
        <w:tc>
          <w:tcPr>
            <w:tcW w:w="9629" w:type="dxa"/>
          </w:tcPr>
          <w:p w14:paraId="03C23317" w14:textId="23C565A4" w:rsidR="00D219C2" w:rsidRDefault="00D219C2" w:rsidP="00D219C2">
            <w:pPr>
              <w:overflowPunct w:val="0"/>
              <w:autoSpaceDE w:val="0"/>
              <w:autoSpaceDN w:val="0"/>
              <w:adjustRightInd w:val="0"/>
              <w:textAlignment w:val="baseline"/>
              <w:rPr>
                <w:lang w:val="en-GB"/>
              </w:rPr>
            </w:pPr>
            <w:r w:rsidRPr="00D219C2">
              <w:rPr>
                <w:rFonts w:ascii="Times New Roman" w:eastAsia="Times New Roman" w:hAnsi="Times New Roman" w:cs="Times New Roman"/>
                <w:sz w:val="20"/>
                <w:szCs w:val="20"/>
                <w:lang w:val="en-GB" w:eastAsia="en-GB"/>
              </w:rPr>
              <w:lastRenderedPageBreak/>
              <w:t xml:space="preserve">The </w:t>
            </w:r>
            <w:r w:rsidRPr="00D219C2">
              <w:rPr>
                <w:rFonts w:ascii="Times New Roman" w:eastAsia="Times New Roman" w:hAnsi="Times New Roman" w:cs="Times New Roman"/>
                <w:sz w:val="20"/>
                <w:szCs w:val="20"/>
                <w:highlight w:val="yellow"/>
                <w:lang w:val="en-GB" w:eastAsia="en-GB"/>
              </w:rPr>
              <w:t>candidate SS/PBCH blocks</w:t>
            </w:r>
            <w:r w:rsidRPr="00D219C2">
              <w:rPr>
                <w:rFonts w:ascii="Times New Roman" w:eastAsia="Times New Roman" w:hAnsi="Times New Roman" w:cs="Times New Roman"/>
                <w:sz w:val="20"/>
                <w:szCs w:val="20"/>
                <w:lang w:val="en-GB" w:eastAsia="en-GB"/>
              </w:rPr>
              <w:t xml:space="preserve"> in a half frame are indexed in an ascending order in time from 0 to </w:t>
            </w:r>
            <w:r w:rsidRPr="00D219C2">
              <w:rPr>
                <w:rFonts w:ascii="Times New Roman" w:eastAsia="Times New Roman" w:hAnsi="Times New Roman" w:cs="Times New Roman"/>
                <w:iCs/>
                <w:position w:val="-10"/>
                <w:sz w:val="20"/>
                <w:szCs w:val="20"/>
                <w:lang w:val="en-GB" w:eastAsia="en-GB"/>
              </w:rPr>
              <w:object w:dxaOrig="680" w:dyaOrig="300" w14:anchorId="33EBA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5.6pt" o:ole="">
                  <v:imagedata r:id="rId13" o:title=""/>
                </v:shape>
                <o:OLEObject Type="Embed" ProgID="Equation.3" ShapeID="_x0000_i1025" DrawAspect="Content" ObjectID="_1634754133" r:id="rId14"/>
              </w:object>
            </w:r>
            <w:r w:rsidRPr="00D219C2">
              <w:rPr>
                <w:rFonts w:ascii="Times New Roman" w:eastAsia="Times New Roman" w:hAnsi="Times New Roman" w:cs="Times New Roman"/>
                <w:sz w:val="20"/>
                <w:szCs w:val="20"/>
                <w:lang w:val="en-GB" w:eastAsia="en-GB"/>
              </w:rPr>
              <w:t xml:space="preserve">. A UE determines the 2 LSB bits, for </w:t>
            </w:r>
            <w:r w:rsidRPr="00D219C2">
              <w:rPr>
                <w:rFonts w:ascii="Times New Roman" w:eastAsia="Times New Roman" w:hAnsi="Times New Roman" w:cs="Times New Roman"/>
                <w:iCs/>
                <w:position w:val="-10"/>
                <w:sz w:val="20"/>
                <w:szCs w:val="20"/>
                <w:lang w:val="en-GB" w:eastAsia="en-GB"/>
              </w:rPr>
              <w:object w:dxaOrig="720" w:dyaOrig="300" w14:anchorId="735C640E">
                <v:shape id="_x0000_i1026" type="#_x0000_t75" style="width:36.55pt;height:15.6pt" o:ole="">
                  <v:imagedata r:id="rId15" o:title=""/>
                </v:shape>
                <o:OLEObject Type="Embed" ProgID="Equation.3" ShapeID="_x0000_i1026" DrawAspect="Content" ObjectID="_1634754134" r:id="rId16"/>
              </w:object>
            </w:r>
            <w:r w:rsidRPr="00D219C2">
              <w:rPr>
                <w:rFonts w:ascii="Times New Roman" w:eastAsia="Times New Roman" w:hAnsi="Times New Roman" w:cs="Times New Roman"/>
                <w:iCs/>
                <w:sz w:val="20"/>
                <w:szCs w:val="20"/>
                <w:lang w:val="en-GB" w:eastAsia="en-GB"/>
              </w:rPr>
              <w:t xml:space="preserve">, </w:t>
            </w:r>
            <w:r w:rsidRPr="00D219C2">
              <w:rPr>
                <w:rFonts w:ascii="Times New Roman" w:eastAsia="Times New Roman" w:hAnsi="Times New Roman" w:cs="Times New Roman"/>
                <w:sz w:val="20"/>
                <w:szCs w:val="20"/>
                <w:lang w:val="en-GB" w:eastAsia="en-GB"/>
              </w:rPr>
              <w:t xml:space="preserve">or the 3 LSB bits, for </w:t>
            </w:r>
            <w:r w:rsidRPr="00D219C2">
              <w:rPr>
                <w:rFonts w:ascii="Times New Roman" w:eastAsia="Times New Roman" w:hAnsi="Times New Roman" w:cs="Times New Roman"/>
                <w:iCs/>
                <w:position w:val="-10"/>
                <w:sz w:val="20"/>
                <w:szCs w:val="20"/>
                <w:lang w:val="en-GB" w:eastAsia="en-GB"/>
              </w:rPr>
              <w:object w:dxaOrig="720" w:dyaOrig="300" w14:anchorId="3A777455">
                <v:shape id="_x0000_i1027" type="#_x0000_t75" style="width:36.55pt;height:13.95pt" o:ole="">
                  <v:imagedata r:id="rId17" o:title=""/>
                </v:shape>
                <o:OLEObject Type="Embed" ProgID="Equation.3" ShapeID="_x0000_i1027" DrawAspect="Content" ObjectID="_1634754135" r:id="rId18"/>
              </w:object>
            </w:r>
            <w:r w:rsidRPr="00D219C2">
              <w:rPr>
                <w:rFonts w:ascii="Times New Roman" w:eastAsia="Times New Roman" w:hAnsi="Times New Roman" w:cs="Times New Roman"/>
                <w:iCs/>
                <w:sz w:val="20"/>
                <w:szCs w:val="20"/>
                <w:lang w:val="en-GB" w:eastAsia="en-GB"/>
              </w:rPr>
              <w:t xml:space="preserve">, </w:t>
            </w:r>
            <w:r w:rsidRPr="00D219C2">
              <w:rPr>
                <w:rFonts w:ascii="Times New Roman" w:eastAsia="Times New Roman" w:hAnsi="Times New Roman" w:cs="Times New Roman"/>
                <w:sz w:val="20"/>
                <w:szCs w:val="20"/>
                <w:lang w:val="en-GB" w:eastAsia="en-GB"/>
              </w:rPr>
              <w:t xml:space="preserve">of a </w:t>
            </w:r>
            <w:r w:rsidRPr="00D219C2">
              <w:rPr>
                <w:rFonts w:ascii="Times New Roman" w:eastAsia="Times New Roman" w:hAnsi="Times New Roman" w:cs="Times New Roman"/>
                <w:sz w:val="20"/>
                <w:szCs w:val="20"/>
                <w:highlight w:val="cyan"/>
                <w:lang w:val="en-GB" w:eastAsia="ja-JP"/>
              </w:rPr>
              <w:t>SS/PBCH block index</w:t>
            </w:r>
            <w:r w:rsidRPr="00D219C2">
              <w:rPr>
                <w:rFonts w:ascii="Times New Roman" w:eastAsia="Times New Roman" w:hAnsi="Times New Roman" w:cs="Times New Roman"/>
                <w:sz w:val="20"/>
                <w:szCs w:val="20"/>
                <w:lang w:val="en-GB" w:eastAsia="ja-JP"/>
              </w:rPr>
              <w:t xml:space="preserve"> per half frame from a one-to-one mapping with an index of the DM-RS sequence transmitted in the PBCH. </w:t>
            </w:r>
            <w:r w:rsidRPr="00D219C2">
              <w:rPr>
                <w:rFonts w:ascii="Times New Roman" w:eastAsia="Times New Roman" w:hAnsi="Times New Roman" w:cs="Times New Roman"/>
                <w:sz w:val="20"/>
                <w:szCs w:val="20"/>
                <w:lang w:val="en-GB" w:eastAsia="en-GB"/>
              </w:rPr>
              <w:t xml:space="preserve">For </w:t>
            </w:r>
            <w:r w:rsidRPr="00D219C2">
              <w:rPr>
                <w:rFonts w:ascii="Times New Roman" w:eastAsia="Times New Roman" w:hAnsi="Times New Roman" w:cs="Times New Roman"/>
                <w:iCs/>
                <w:position w:val="-10"/>
                <w:sz w:val="20"/>
                <w:szCs w:val="20"/>
                <w:lang w:val="en-GB" w:eastAsia="en-GB"/>
              </w:rPr>
              <w:object w:dxaOrig="820" w:dyaOrig="300" w14:anchorId="13B6B57A">
                <v:shape id="_x0000_i1028" type="#_x0000_t75" style="width:43pt;height:15.6pt" o:ole="">
                  <v:imagedata r:id="rId19" o:title=""/>
                </v:shape>
                <o:OLEObject Type="Embed" ProgID="Equation.3" ShapeID="_x0000_i1028" DrawAspect="Content" ObjectID="_1634754136" r:id="rId20"/>
              </w:object>
            </w:r>
            <w:r w:rsidRPr="00D219C2">
              <w:rPr>
                <w:rFonts w:ascii="Times New Roman" w:eastAsia="Times New Roman" w:hAnsi="Times New Roman" w:cs="Times New Roman"/>
                <w:sz w:val="20"/>
                <w:szCs w:val="20"/>
                <w:lang w:val="en-GB" w:eastAsia="en-GB"/>
              </w:rPr>
              <w:t xml:space="preserve">, the UE determines the 3 MSB bits of the </w:t>
            </w:r>
            <w:r w:rsidRPr="00D219C2">
              <w:rPr>
                <w:rFonts w:ascii="Times New Roman" w:eastAsia="Times New Roman" w:hAnsi="Times New Roman" w:cs="Times New Roman"/>
                <w:sz w:val="20"/>
                <w:szCs w:val="20"/>
                <w:highlight w:val="cyan"/>
                <w:lang w:val="en-GB" w:eastAsia="ja-JP"/>
              </w:rPr>
              <w:t>SS/PBCH block index</w:t>
            </w:r>
            <w:r w:rsidRPr="00D219C2">
              <w:rPr>
                <w:rFonts w:ascii="Times New Roman" w:eastAsia="Times New Roman" w:hAnsi="Times New Roman" w:cs="Times New Roman"/>
                <w:sz w:val="20"/>
                <w:szCs w:val="20"/>
                <w:lang w:val="en-GB" w:eastAsia="ja-JP"/>
              </w:rPr>
              <w:t xml:space="preserve"> per half frame </w:t>
            </w:r>
            <w:r w:rsidRPr="00D219C2">
              <w:rPr>
                <w:rFonts w:ascii="Times New Roman" w:eastAsia="Times New Roman" w:hAnsi="Times New Roman" w:cs="Times New Roman"/>
                <w:sz w:val="20"/>
                <w:szCs w:val="20"/>
                <w:lang w:val="en-GB" w:eastAsia="en-GB"/>
              </w:rPr>
              <w:t xml:space="preserve">from PBCH payload bits </w:t>
            </w:r>
            <w:r w:rsidRPr="00D219C2">
              <w:rPr>
                <w:rFonts w:ascii="Times New Roman" w:eastAsia="Times New Roman" w:hAnsi="Times New Roman" w:cs="Times New Roman"/>
                <w:position w:val="-12"/>
                <w:sz w:val="20"/>
                <w:szCs w:val="20"/>
                <w:lang w:val="en-GB" w:eastAsia="en-GB"/>
              </w:rPr>
              <w:object w:dxaOrig="1260" w:dyaOrig="320" w14:anchorId="635CBF91">
                <v:shape id="_x0000_i1029" type="#_x0000_t75" style="width:64.5pt;height:17.75pt" o:ole="">
                  <v:imagedata r:id="rId21" o:title=""/>
                </v:shape>
                <o:OLEObject Type="Embed" ProgID="Equation.3" ShapeID="_x0000_i1029" DrawAspect="Content" ObjectID="_1634754137" r:id="rId22"/>
              </w:object>
            </w:r>
            <w:r w:rsidRPr="00D219C2">
              <w:rPr>
                <w:rFonts w:ascii="Times New Roman" w:eastAsia="Times New Roman" w:hAnsi="Times New Roman" w:cs="Times New Roman"/>
                <w:sz w:val="20"/>
                <w:szCs w:val="20"/>
                <w:lang w:val="en-GB" w:eastAsia="en-GB"/>
              </w:rPr>
              <w:t xml:space="preserve"> as described in [5, TS 38.212]</w:t>
            </w:r>
            <w:r w:rsidRPr="00D219C2">
              <w:rPr>
                <w:rFonts w:ascii="Times New Roman" w:eastAsia="Times New Roman" w:hAnsi="Times New Roman" w:cs="Times New Roman"/>
                <w:sz w:val="20"/>
                <w:szCs w:val="20"/>
                <w:lang w:val="en-GB" w:eastAsia="ja-JP"/>
              </w:rPr>
              <w:t>.</w:t>
            </w:r>
          </w:p>
        </w:tc>
      </w:tr>
    </w:tbl>
    <w:p w14:paraId="54AAE577" w14:textId="77777777" w:rsidR="00D219C2" w:rsidRDefault="00D219C2" w:rsidP="00791980">
      <w:pPr>
        <w:pStyle w:val="BodyText"/>
        <w:rPr>
          <w:lang w:val="en-GB"/>
        </w:rPr>
      </w:pPr>
    </w:p>
    <w:p w14:paraId="71FE2CEA" w14:textId="5C03751A" w:rsidR="008F0281" w:rsidRDefault="00791980" w:rsidP="00791980">
      <w:pPr>
        <w:pStyle w:val="BodyText"/>
        <w:rPr>
          <w:lang w:val="en-GB"/>
        </w:rPr>
      </w:pPr>
      <w:r>
        <w:rPr>
          <w:lang w:val="en-GB"/>
        </w:rPr>
        <w:t>This is no longer the case for NR-U</w:t>
      </w:r>
      <w:r w:rsidR="008068FE">
        <w:rPr>
          <w:lang w:val="en-GB"/>
        </w:rPr>
        <w:t xml:space="preserve"> when the SS/PBCH blocks </w:t>
      </w:r>
      <w:proofErr w:type="gramStart"/>
      <w:r w:rsidR="008068FE">
        <w:rPr>
          <w:lang w:val="en-GB"/>
        </w:rPr>
        <w:t>are allowed to</w:t>
      </w:r>
      <w:proofErr w:type="gramEnd"/>
      <w:r w:rsidR="008068FE">
        <w:rPr>
          <w:lang w:val="en-GB"/>
        </w:rPr>
        <w:t xml:space="preserve"> shift in time</w:t>
      </w:r>
      <w:r>
        <w:rPr>
          <w:lang w:val="en-GB"/>
        </w:rPr>
        <w:t>. RAN1 has already agreed that a</w:t>
      </w:r>
      <w:r w:rsidR="008068FE">
        <w:rPr>
          <w:lang w:val="en-GB"/>
        </w:rPr>
        <w:t xml:space="preserve"> candidate </w:t>
      </w:r>
      <w:r>
        <w:rPr>
          <w:lang w:val="en-GB"/>
        </w:rPr>
        <w:t xml:space="preserve">SS/PBCH </w:t>
      </w:r>
      <w:r w:rsidR="008068FE">
        <w:rPr>
          <w:lang w:val="en-GB"/>
        </w:rPr>
        <w:t xml:space="preserve">block </w:t>
      </w:r>
      <w:r>
        <w:rPr>
          <w:lang w:val="en-GB"/>
        </w:rPr>
        <w:t xml:space="preserve">index </w:t>
      </w:r>
      <w:r w:rsidR="00135916">
        <w:rPr>
          <w:lang w:val="en-GB"/>
        </w:rPr>
        <w:t>range</w:t>
      </w:r>
      <w:r w:rsidR="008068FE">
        <w:rPr>
          <w:lang w:val="en-GB"/>
        </w:rPr>
        <w:t xml:space="preserve"> from </w:t>
      </w:r>
      <w:r>
        <w:rPr>
          <w:lang w:val="en-GB"/>
        </w:rPr>
        <w:t>0 to 19 for 30 kHz SCS and 0 to 9 for 15 kHz SCS. Thus to be consistent with the “beam” interpretation of the SS/PBCH block index</w:t>
      </w:r>
      <w:r w:rsidR="008068FE">
        <w:rPr>
          <w:lang w:val="en-GB"/>
        </w:rPr>
        <w:t xml:space="preserve"> in Rel-15</w:t>
      </w:r>
      <w:r>
        <w:rPr>
          <w:lang w:val="en-GB"/>
        </w:rPr>
        <w:t>, we propose to define the SS/PBCH block index as modulo(</w:t>
      </w:r>
      <w:proofErr w:type="gramStart"/>
      <w:r>
        <w:rPr>
          <w:lang w:val="en-GB"/>
        </w:rPr>
        <w:t>A,Q</w:t>
      </w:r>
      <w:proofErr w:type="gramEnd"/>
      <w:r>
        <w:rPr>
          <w:lang w:val="en-GB"/>
        </w:rPr>
        <w:t>).</w:t>
      </w:r>
    </w:p>
    <w:p w14:paraId="5F242F57" w14:textId="0A1EEC71" w:rsidR="008F0281" w:rsidRDefault="008F0281" w:rsidP="008F0281">
      <w:pPr>
        <w:pStyle w:val="Proposal"/>
      </w:pPr>
      <w:bookmarkStart w:id="16" w:name="_Ref23955548"/>
      <w:bookmarkStart w:id="17" w:name="_Ref23773047"/>
      <w:bookmarkStart w:id="18" w:name="_Toc24104652"/>
      <w:r>
        <w:t>RAN1 to agree on the following terminology to be used consistently across RAN1 (and RAN2</w:t>
      </w:r>
      <w:r w:rsidR="004D4F69">
        <w:t>/RAN4</w:t>
      </w:r>
      <w:r>
        <w:t>) specifications f</w:t>
      </w:r>
      <w:r w:rsidRPr="0020691D">
        <w:t>or operation with shared spectrum channel access</w:t>
      </w:r>
      <w:r>
        <w:t>:</w:t>
      </w:r>
      <w:r>
        <w:br/>
        <w:t xml:space="preserve">- </w:t>
      </w:r>
      <w:r w:rsidRPr="008F0281">
        <w:t xml:space="preserve">Candidate SS/PBCH </w:t>
      </w:r>
      <w:r w:rsidR="004D4F69">
        <w:t>b</w:t>
      </w:r>
      <w:r w:rsidRPr="008F0281">
        <w:t xml:space="preserve">lock index </w:t>
      </w:r>
      <w:r w:rsidR="00DF3902">
        <w:t>as previously agreed in RAN1</w:t>
      </w:r>
      <w:r>
        <w:br/>
        <w:t xml:space="preserve">- </w:t>
      </w:r>
      <w:r w:rsidRPr="008F0281">
        <w:t xml:space="preserve">SS/PBCH block index </w:t>
      </w:r>
      <w:r>
        <w:t xml:space="preserve">= </w:t>
      </w:r>
      <w:proofErr w:type="gramStart"/>
      <w:r>
        <w:t>modulo(</w:t>
      </w:r>
      <w:proofErr w:type="gramEnd"/>
      <w:r>
        <w:t>A, Q)</w:t>
      </w:r>
      <w:bookmarkEnd w:id="16"/>
      <w:bookmarkEnd w:id="18"/>
    </w:p>
    <w:p w14:paraId="47C29CBA" w14:textId="1457F2FC" w:rsidR="008F0281" w:rsidRDefault="004D4F69" w:rsidP="004D4F69">
      <w:pPr>
        <w:pStyle w:val="BodyText"/>
        <w:rPr>
          <w:lang w:val="en-GB"/>
        </w:rPr>
      </w:pPr>
      <w:r>
        <w:rPr>
          <w:lang w:val="en-GB"/>
        </w:rPr>
        <w:t>Below we give an example of how the terminology is used when Q=4, the DRS transmission window is 5ms long and 30kHz sub-carrier spacing is used.</w:t>
      </w:r>
    </w:p>
    <w:p w14:paraId="64D71277" w14:textId="0C23B1BD" w:rsidR="004D4F69" w:rsidRPr="004D4F69" w:rsidRDefault="004D4F69" w:rsidP="004D4F69">
      <w:pPr>
        <w:pStyle w:val="BodyText"/>
        <w:rPr>
          <w:lang w:val="en-GB"/>
        </w:rPr>
      </w:pPr>
      <w:r w:rsidRPr="004D4F69">
        <w:rPr>
          <w:noProof/>
        </w:rPr>
        <w:drawing>
          <wp:inline distT="0" distB="0" distL="0" distR="0" wp14:anchorId="43AD972C" wp14:editId="61E4E48F">
            <wp:extent cx="5762073" cy="8509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70659" cy="852168"/>
                    </a:xfrm>
                    <a:prstGeom prst="rect">
                      <a:avLst/>
                    </a:prstGeom>
                    <a:noFill/>
                    <a:ln>
                      <a:noFill/>
                    </a:ln>
                  </pic:spPr>
                </pic:pic>
              </a:graphicData>
            </a:graphic>
          </wp:inline>
        </w:drawing>
      </w:r>
    </w:p>
    <w:p w14:paraId="79773B01" w14:textId="1D68ADF0" w:rsidR="008F0281" w:rsidRDefault="00F31ABC" w:rsidP="00ED20EF">
      <w:pPr>
        <w:pStyle w:val="BodyText"/>
      </w:pPr>
      <w:r>
        <w:t xml:space="preserve">To further highlight the distinction between the </w:t>
      </w:r>
      <w:r w:rsidR="00D219C2">
        <w:t>terms</w:t>
      </w:r>
      <w:r>
        <w:t xml:space="preserve"> “</w:t>
      </w:r>
      <w:r w:rsidRPr="008068FE">
        <w:rPr>
          <w:highlight w:val="yellow"/>
        </w:rPr>
        <w:t>candidate SS/PBCH block index</w:t>
      </w:r>
      <w:r>
        <w:t>” and “</w:t>
      </w:r>
      <w:r w:rsidRPr="008068FE">
        <w:rPr>
          <w:highlight w:val="cyan"/>
        </w:rPr>
        <w:t>SS/PBCH block index</w:t>
      </w:r>
      <w:r>
        <w:t xml:space="preserve">”, we give an example of how the </w:t>
      </w:r>
      <w:r w:rsidR="00D219C2">
        <w:t>terms</w:t>
      </w:r>
      <w:r>
        <w:t xml:space="preserve"> can be captured in 38.213. We base the description on </w:t>
      </w:r>
      <w:r w:rsidR="00C82440">
        <w:t>v</w:t>
      </w:r>
      <w:r w:rsidR="00CB7821">
        <w:t>5</w:t>
      </w:r>
      <w:r w:rsidR="00C82440">
        <w:t xml:space="preserve"> </w:t>
      </w:r>
      <w:r>
        <w:t xml:space="preserve">of the draft CR for 38.213 where “candidate SS/PBCH block index” has already been </w:t>
      </w:r>
      <w:r w:rsidR="0031029F">
        <w:t>used</w:t>
      </w:r>
      <w:r>
        <w:t>.</w:t>
      </w:r>
    </w:p>
    <w:tbl>
      <w:tblPr>
        <w:tblStyle w:val="TableGrid"/>
        <w:tblW w:w="0" w:type="auto"/>
        <w:tblLook w:val="04A0" w:firstRow="1" w:lastRow="0" w:firstColumn="1" w:lastColumn="0" w:noHBand="0" w:noVBand="1"/>
      </w:tblPr>
      <w:tblGrid>
        <w:gridCol w:w="9629"/>
      </w:tblGrid>
      <w:tr w:rsidR="00D219C2" w14:paraId="65862207" w14:textId="77777777" w:rsidTr="00D219C2">
        <w:tc>
          <w:tcPr>
            <w:tcW w:w="9629" w:type="dxa"/>
          </w:tcPr>
          <w:p w14:paraId="048BC9AD" w14:textId="77777777" w:rsidR="00D219C2" w:rsidRPr="00D219C2" w:rsidRDefault="00D219C2" w:rsidP="00D219C2">
            <w:pPr>
              <w:overflowPunct w:val="0"/>
              <w:autoSpaceDE w:val="0"/>
              <w:autoSpaceDN w:val="0"/>
              <w:adjustRightInd w:val="0"/>
              <w:textAlignment w:val="baseline"/>
              <w:rPr>
                <w:rFonts w:ascii="Times New Roman" w:eastAsia="Times New Roman" w:hAnsi="Times New Roman" w:cs="Times New Roman"/>
                <w:sz w:val="20"/>
                <w:szCs w:val="20"/>
                <w:lang w:val="en-GB" w:eastAsia="ja-JP"/>
              </w:rPr>
            </w:pPr>
            <w:bookmarkStart w:id="19" w:name="_Hlk23845347"/>
            <w:r w:rsidRPr="00D219C2">
              <w:rPr>
                <w:rFonts w:ascii="Times New Roman" w:eastAsia="Times New Roman" w:hAnsi="Times New Roman" w:cs="Times New Roman"/>
                <w:sz w:val="20"/>
                <w:szCs w:val="20"/>
                <w:lang w:val="en-GB" w:eastAsia="en-GB"/>
              </w:rPr>
              <w:t xml:space="preserve">The candidate SS/PBCH blocks in a half frame are indexed in an ascending order in time from 0 to </w:t>
            </w:r>
            <w:r w:rsidRPr="00D219C2">
              <w:rPr>
                <w:rFonts w:ascii="Times New Roman" w:eastAsia="Times New Roman" w:hAnsi="Times New Roman" w:cs="Times New Roman"/>
                <w:iCs/>
                <w:position w:val="-10"/>
                <w:sz w:val="20"/>
                <w:szCs w:val="20"/>
                <w:lang w:val="en-GB" w:eastAsia="en-GB"/>
              </w:rPr>
              <w:object w:dxaOrig="680" w:dyaOrig="300" w14:anchorId="3F5942F3">
                <v:shape id="_x0000_i1030" type="#_x0000_t75" style="width:36.55pt;height:15.6pt" o:ole="">
                  <v:imagedata r:id="rId13" o:title=""/>
                </v:shape>
                <o:OLEObject Type="Embed" ProgID="Equation.3" ShapeID="_x0000_i1030" DrawAspect="Content" ObjectID="_1634754138" r:id="rId24"/>
              </w:object>
            </w:r>
            <w:r w:rsidRPr="00D219C2">
              <w:rPr>
                <w:rFonts w:ascii="Times New Roman" w:eastAsia="Times New Roman" w:hAnsi="Times New Roman" w:cs="Times New Roman"/>
                <w:sz w:val="20"/>
                <w:szCs w:val="20"/>
                <w:lang w:val="en-GB" w:eastAsia="en-GB"/>
              </w:rPr>
              <w:t xml:space="preserve">. A UE determines the 2 LSB bits, for </w:t>
            </w:r>
            <w:r w:rsidRPr="00D219C2">
              <w:rPr>
                <w:rFonts w:ascii="Times New Roman" w:eastAsia="Times New Roman" w:hAnsi="Times New Roman" w:cs="Times New Roman"/>
                <w:iCs/>
                <w:position w:val="-10"/>
                <w:sz w:val="20"/>
                <w:szCs w:val="20"/>
                <w:lang w:val="en-GB" w:eastAsia="en-GB"/>
              </w:rPr>
              <w:object w:dxaOrig="720" w:dyaOrig="300" w14:anchorId="5E6A381F">
                <v:shape id="_x0000_i1031" type="#_x0000_t75" style="width:36.55pt;height:15.6pt" o:ole="">
                  <v:imagedata r:id="rId15" o:title=""/>
                </v:shape>
                <o:OLEObject Type="Embed" ProgID="Equation.3" ShapeID="_x0000_i1031" DrawAspect="Content" ObjectID="_1634754139" r:id="rId25"/>
              </w:object>
            </w:r>
            <w:r w:rsidRPr="00D219C2">
              <w:rPr>
                <w:rFonts w:ascii="Times New Roman" w:eastAsia="Times New Roman" w:hAnsi="Times New Roman" w:cs="Times New Roman"/>
                <w:iCs/>
                <w:sz w:val="20"/>
                <w:szCs w:val="20"/>
                <w:lang w:val="en-GB" w:eastAsia="en-GB"/>
              </w:rPr>
              <w:t xml:space="preserve">, </w:t>
            </w:r>
            <w:r w:rsidRPr="00D219C2">
              <w:rPr>
                <w:rFonts w:ascii="Times New Roman" w:eastAsia="Times New Roman" w:hAnsi="Times New Roman" w:cs="Times New Roman"/>
                <w:sz w:val="20"/>
                <w:szCs w:val="20"/>
                <w:lang w:val="en-GB" w:eastAsia="en-GB"/>
              </w:rPr>
              <w:t xml:space="preserve">or the 3 LSB bits, for </w:t>
            </w:r>
            <w:r w:rsidRPr="00D219C2">
              <w:rPr>
                <w:rFonts w:ascii="Times New Roman" w:eastAsia="Times New Roman" w:hAnsi="Times New Roman" w:cs="Times New Roman"/>
                <w:iCs/>
                <w:position w:val="-10"/>
                <w:sz w:val="20"/>
                <w:szCs w:val="20"/>
                <w:lang w:val="en-GB" w:eastAsia="en-GB"/>
              </w:rPr>
              <w:object w:dxaOrig="720" w:dyaOrig="300" w14:anchorId="2BF7E0EB">
                <v:shape id="_x0000_i1032" type="#_x0000_t75" style="width:36.55pt;height:13.95pt" o:ole="">
                  <v:imagedata r:id="rId17" o:title=""/>
                </v:shape>
                <o:OLEObject Type="Embed" ProgID="Equation.3" ShapeID="_x0000_i1032" DrawAspect="Content" ObjectID="_1634754140" r:id="rId26"/>
              </w:object>
            </w:r>
            <w:r w:rsidRPr="00D219C2">
              <w:rPr>
                <w:rFonts w:ascii="Times New Roman" w:eastAsia="Times New Roman" w:hAnsi="Times New Roman" w:cs="Times New Roman"/>
                <w:iCs/>
                <w:sz w:val="20"/>
                <w:szCs w:val="20"/>
                <w:lang w:val="en-GB" w:eastAsia="en-GB"/>
              </w:rPr>
              <w:t xml:space="preserve">, </w:t>
            </w:r>
            <w:r w:rsidRPr="00D219C2">
              <w:rPr>
                <w:rFonts w:ascii="Times New Roman" w:eastAsia="Times New Roman" w:hAnsi="Times New Roman" w:cs="Times New Roman"/>
                <w:sz w:val="20"/>
                <w:szCs w:val="20"/>
                <w:lang w:val="en-GB" w:eastAsia="en-GB"/>
              </w:rPr>
              <w:t xml:space="preserve">of a </w:t>
            </w:r>
            <w:r w:rsidRPr="00D219C2">
              <w:rPr>
                <w:rFonts w:ascii="Times New Roman" w:eastAsia="Times New Roman" w:hAnsi="Times New Roman" w:cs="Times New Roman"/>
                <w:sz w:val="20"/>
                <w:szCs w:val="20"/>
                <w:lang w:val="en-GB" w:eastAsia="ja-JP"/>
              </w:rPr>
              <w:t xml:space="preserve">SS/PBCH block index per half frame from a one-to-one mapping with an index of the DM-RS sequence transmitted in the PBCH. </w:t>
            </w:r>
            <w:r w:rsidRPr="00D219C2">
              <w:rPr>
                <w:rFonts w:ascii="Times New Roman" w:eastAsia="Times New Roman" w:hAnsi="Times New Roman" w:cs="Times New Roman"/>
                <w:sz w:val="20"/>
                <w:szCs w:val="20"/>
                <w:lang w:val="en-GB" w:eastAsia="en-GB"/>
              </w:rPr>
              <w:t xml:space="preserve">For </w:t>
            </w:r>
            <w:r w:rsidRPr="00D219C2">
              <w:rPr>
                <w:rFonts w:ascii="Times New Roman" w:eastAsia="Times New Roman" w:hAnsi="Times New Roman" w:cs="Times New Roman"/>
                <w:iCs/>
                <w:position w:val="-10"/>
                <w:sz w:val="20"/>
                <w:szCs w:val="20"/>
                <w:lang w:val="en-GB" w:eastAsia="en-GB"/>
              </w:rPr>
              <w:object w:dxaOrig="820" w:dyaOrig="300" w14:anchorId="5F7C612D">
                <v:shape id="_x0000_i1033" type="#_x0000_t75" style="width:43pt;height:15.6pt" o:ole="">
                  <v:imagedata r:id="rId19" o:title=""/>
                </v:shape>
                <o:OLEObject Type="Embed" ProgID="Equation.3" ShapeID="_x0000_i1033" DrawAspect="Content" ObjectID="_1634754141" r:id="rId27"/>
              </w:object>
            </w:r>
            <w:r w:rsidRPr="00D219C2">
              <w:rPr>
                <w:rFonts w:ascii="Times New Roman" w:eastAsia="Times New Roman" w:hAnsi="Times New Roman" w:cs="Times New Roman"/>
                <w:sz w:val="20"/>
                <w:szCs w:val="20"/>
                <w:lang w:val="en-GB" w:eastAsia="en-GB"/>
              </w:rPr>
              <w:t xml:space="preserve">, the UE determines the 3 MSB bits of the </w:t>
            </w:r>
            <w:r w:rsidRPr="00D219C2">
              <w:rPr>
                <w:rFonts w:ascii="Times New Roman" w:eastAsia="Times New Roman" w:hAnsi="Times New Roman" w:cs="Times New Roman"/>
                <w:sz w:val="20"/>
                <w:szCs w:val="20"/>
                <w:lang w:val="en-GB" w:eastAsia="ja-JP"/>
              </w:rPr>
              <w:t xml:space="preserve">SS/PBCH block index per half frame </w:t>
            </w:r>
            <w:r w:rsidRPr="00D219C2">
              <w:rPr>
                <w:rFonts w:ascii="Times New Roman" w:eastAsia="Times New Roman" w:hAnsi="Times New Roman" w:cs="Times New Roman"/>
                <w:sz w:val="20"/>
                <w:szCs w:val="20"/>
                <w:lang w:val="en-GB" w:eastAsia="en-GB"/>
              </w:rPr>
              <w:t xml:space="preserve">from PBCH payload bits </w:t>
            </w:r>
            <w:r w:rsidRPr="00D219C2">
              <w:rPr>
                <w:rFonts w:ascii="Times New Roman" w:eastAsia="Times New Roman" w:hAnsi="Times New Roman" w:cs="Times New Roman"/>
                <w:position w:val="-12"/>
                <w:sz w:val="20"/>
                <w:szCs w:val="20"/>
                <w:lang w:val="en-GB" w:eastAsia="en-GB"/>
              </w:rPr>
              <w:object w:dxaOrig="1260" w:dyaOrig="320" w14:anchorId="41A8D1F7">
                <v:shape id="_x0000_i1034" type="#_x0000_t75" style="width:64.5pt;height:17.75pt" o:ole="">
                  <v:imagedata r:id="rId21" o:title=""/>
                </v:shape>
                <o:OLEObject Type="Embed" ProgID="Equation.3" ShapeID="_x0000_i1034" DrawAspect="Content" ObjectID="_1634754142" r:id="rId28"/>
              </w:object>
            </w:r>
            <w:r w:rsidRPr="00D219C2">
              <w:rPr>
                <w:rFonts w:ascii="Times New Roman" w:eastAsia="Times New Roman" w:hAnsi="Times New Roman" w:cs="Times New Roman"/>
                <w:sz w:val="20"/>
                <w:szCs w:val="20"/>
                <w:lang w:val="en-GB" w:eastAsia="en-GB"/>
              </w:rPr>
              <w:t xml:space="preserve"> as described in [5, TS 38.212]</w:t>
            </w:r>
            <w:r w:rsidRPr="00D219C2">
              <w:rPr>
                <w:rFonts w:ascii="Times New Roman" w:eastAsia="Times New Roman" w:hAnsi="Times New Roman" w:cs="Times New Roman"/>
                <w:sz w:val="20"/>
                <w:szCs w:val="20"/>
                <w:lang w:val="en-GB" w:eastAsia="ja-JP"/>
              </w:rPr>
              <w:t>.</w:t>
            </w:r>
          </w:p>
          <w:bookmarkEnd w:id="19"/>
          <w:p w14:paraId="47CB7DC3" w14:textId="77777777" w:rsidR="00D219C2" w:rsidRPr="00F31ABC" w:rsidRDefault="00D219C2" w:rsidP="00D219C2">
            <w:pPr>
              <w:overflowPunct w:val="0"/>
              <w:autoSpaceDE w:val="0"/>
              <w:autoSpaceDN w:val="0"/>
              <w:adjustRightInd w:val="0"/>
              <w:textAlignment w:val="baseline"/>
              <w:rPr>
                <w:rFonts w:ascii="Times New Roman" w:eastAsia="Times New Roman" w:hAnsi="Times New Roman" w:cs="Times New Roman"/>
                <w:color w:val="ED7D31" w:themeColor="accent2"/>
                <w:sz w:val="20"/>
                <w:szCs w:val="20"/>
                <w:lang w:val="en-GB" w:eastAsia="ja-JP"/>
              </w:rPr>
            </w:pPr>
            <w:r w:rsidRPr="00F31ABC">
              <w:rPr>
                <w:rFonts w:ascii="Times New Roman" w:eastAsia="Times New Roman" w:hAnsi="Times New Roman" w:cs="Times New Roman"/>
                <w:color w:val="ED7D31" w:themeColor="accent2"/>
                <w:sz w:val="20"/>
                <w:szCs w:val="20"/>
                <w:lang w:val="en-GB" w:eastAsia="en-GB"/>
              </w:rPr>
              <w:t xml:space="preserve">For operation with shared spectrum channel access, the </w:t>
            </w:r>
            <w:r w:rsidRPr="00F31ABC">
              <w:rPr>
                <w:rFonts w:ascii="Times New Roman" w:eastAsia="Times New Roman" w:hAnsi="Times New Roman" w:cs="Times New Roman"/>
                <w:color w:val="ED7D31" w:themeColor="accent2"/>
                <w:sz w:val="20"/>
                <w:szCs w:val="20"/>
                <w:highlight w:val="yellow"/>
                <w:lang w:val="en-GB" w:eastAsia="en-GB"/>
              </w:rPr>
              <w:t>candidate SS/PBCH blocks</w:t>
            </w:r>
            <w:r w:rsidRPr="00F31ABC">
              <w:rPr>
                <w:rFonts w:ascii="Times New Roman" w:eastAsia="Times New Roman" w:hAnsi="Times New Roman" w:cs="Times New Roman"/>
                <w:color w:val="ED7D31" w:themeColor="accent2"/>
                <w:sz w:val="20"/>
                <w:szCs w:val="20"/>
                <w:lang w:val="en-GB" w:eastAsia="en-GB"/>
              </w:rPr>
              <w:t xml:space="preserve"> in a half frame are indexed in an ascending order in time from 0 to </w:t>
            </w:r>
            <m:oMath>
              <m:sSub>
                <m:sSubPr>
                  <m:ctrlPr>
                    <w:rPr>
                      <w:rFonts w:ascii="Cambria Math" w:eastAsia="Times New Roman" w:hAnsi="Cambria Math" w:cs="Times New Roman"/>
                      <w:i/>
                      <w:color w:val="ED7D31" w:themeColor="accent2"/>
                      <w:sz w:val="20"/>
                      <w:szCs w:val="20"/>
                      <w:lang w:val="en-GB" w:eastAsia="en-GB"/>
                    </w:rPr>
                  </m:ctrlPr>
                </m:sSubPr>
                <m:e>
                  <m:bar>
                    <m:barPr>
                      <m:pos m:val="top"/>
                      <m:ctrlPr>
                        <w:rPr>
                          <w:rFonts w:ascii="Cambria Math" w:eastAsia="Times New Roman" w:hAnsi="Cambria Math" w:cs="Times New Roman"/>
                          <w:i/>
                          <w:color w:val="ED7D31" w:themeColor="accent2"/>
                          <w:sz w:val="20"/>
                          <w:szCs w:val="20"/>
                          <w:lang w:val="en-GB" w:eastAsia="en-GB"/>
                        </w:rPr>
                      </m:ctrlPr>
                    </m:barPr>
                    <m:e>
                      <m:r>
                        <w:rPr>
                          <w:rFonts w:ascii="Cambria Math" w:eastAsia="Times New Roman" w:hAnsi="Times New Roman" w:cs="Times New Roman"/>
                          <w:color w:val="ED7D31" w:themeColor="accent2"/>
                          <w:sz w:val="20"/>
                          <w:szCs w:val="20"/>
                          <w:lang w:val="en-GB" w:eastAsia="en-GB"/>
                        </w:rPr>
                        <m:t>L</m:t>
                      </m:r>
                    </m:e>
                  </m:bar>
                </m:e>
                <m:sub>
                  <m:r>
                    <w:rPr>
                      <w:rFonts w:ascii="Cambria Math" w:eastAsia="Times New Roman" w:hAnsi="Times New Roman" w:cs="Times New Roman"/>
                      <w:color w:val="ED7D31" w:themeColor="accent2"/>
                      <w:sz w:val="20"/>
                      <w:szCs w:val="20"/>
                      <w:lang w:val="en-GB" w:eastAsia="en-GB"/>
                    </w:rPr>
                    <m:t>max</m:t>
                  </m:r>
                </m:sub>
              </m:sSub>
              <m:r>
                <m:rPr>
                  <m:sty m:val="p"/>
                </m:rPr>
                <w:rPr>
                  <w:rFonts w:ascii="Cambria Math" w:eastAsia="Times New Roman" w:hAnsi="Times New Roman" w:cs="Times New Roman"/>
                  <w:color w:val="ED7D31" w:themeColor="accent2"/>
                  <w:sz w:val="20"/>
                  <w:szCs w:val="20"/>
                  <w:lang w:val="en-GB" w:eastAsia="en-GB"/>
                </w:rPr>
                <m:t>-</m:t>
              </m:r>
              <m:r>
                <w:rPr>
                  <w:rFonts w:ascii="Cambria Math" w:eastAsia="Times New Roman" w:hAnsi="Times New Roman" w:cs="Times New Roman"/>
                  <w:color w:val="ED7D31" w:themeColor="accent2"/>
                  <w:sz w:val="20"/>
                  <w:szCs w:val="20"/>
                  <w:lang w:val="en-GB" w:eastAsia="en-GB"/>
                </w:rPr>
                <m:t>1</m:t>
              </m:r>
            </m:oMath>
            <w:r w:rsidRPr="00F31ABC">
              <w:rPr>
                <w:rFonts w:ascii="Times New Roman" w:eastAsia="Times New Roman" w:hAnsi="Times New Roman" w:cs="Times New Roman"/>
                <w:color w:val="ED7D31" w:themeColor="accent2"/>
                <w:sz w:val="20"/>
                <w:szCs w:val="20"/>
                <w:lang w:val="en-GB" w:eastAsia="en-GB"/>
              </w:rPr>
              <w:t xml:space="preserve">, where </w:t>
            </w:r>
            <m:oMath>
              <m:sSub>
                <m:sSubPr>
                  <m:ctrlPr>
                    <w:rPr>
                      <w:rFonts w:ascii="Cambria Math" w:eastAsia="Times New Roman" w:hAnsi="Cambria Math" w:cs="Times New Roman"/>
                      <w:i/>
                      <w:color w:val="ED7D31" w:themeColor="accent2"/>
                      <w:sz w:val="20"/>
                      <w:szCs w:val="20"/>
                      <w:lang w:val="en-GB" w:eastAsia="en-GB"/>
                    </w:rPr>
                  </m:ctrlPr>
                </m:sSubPr>
                <m:e>
                  <m:bar>
                    <m:barPr>
                      <m:pos m:val="top"/>
                      <m:ctrlPr>
                        <w:rPr>
                          <w:rFonts w:ascii="Cambria Math" w:eastAsia="Times New Roman" w:hAnsi="Cambria Math" w:cs="Times New Roman"/>
                          <w:i/>
                          <w:color w:val="ED7D31" w:themeColor="accent2"/>
                          <w:sz w:val="20"/>
                          <w:szCs w:val="20"/>
                          <w:lang w:val="en-GB" w:eastAsia="en-GB"/>
                        </w:rPr>
                      </m:ctrlPr>
                    </m:barPr>
                    <m:e>
                      <m:r>
                        <w:rPr>
                          <w:rFonts w:ascii="Cambria Math" w:eastAsia="Times New Roman" w:hAnsi="Times New Roman" w:cs="Times New Roman"/>
                          <w:color w:val="ED7D31" w:themeColor="accent2"/>
                          <w:sz w:val="20"/>
                          <w:szCs w:val="20"/>
                          <w:lang w:val="en-GB" w:eastAsia="en-GB"/>
                        </w:rPr>
                        <m:t>L</m:t>
                      </m:r>
                    </m:e>
                  </m:bar>
                </m:e>
                <m:sub>
                  <m:r>
                    <w:rPr>
                      <w:rFonts w:ascii="Cambria Math" w:eastAsia="Times New Roman" w:hAnsi="Times New Roman" w:cs="Times New Roman"/>
                      <w:color w:val="ED7D31" w:themeColor="accent2"/>
                      <w:sz w:val="20"/>
                      <w:szCs w:val="20"/>
                      <w:lang w:val="en-GB" w:eastAsia="en-GB"/>
                    </w:rPr>
                    <m:t>max</m:t>
                  </m:r>
                </m:sub>
              </m:sSub>
              <m:r>
                <w:rPr>
                  <w:rFonts w:ascii="Cambria Math" w:eastAsia="Times New Roman" w:hAnsi="Times New Roman" w:cs="Times New Roman"/>
                  <w:color w:val="ED7D31" w:themeColor="accent2"/>
                  <w:sz w:val="20"/>
                  <w:szCs w:val="20"/>
                  <w:lang w:val="en-GB" w:eastAsia="en-GB"/>
                </w:rPr>
                <m:t>=10</m:t>
              </m:r>
            </m:oMath>
            <w:r w:rsidRPr="00F31ABC">
              <w:rPr>
                <w:rFonts w:ascii="Times New Roman" w:eastAsia="Times New Roman" w:hAnsi="Times New Roman" w:cs="Times New Roman"/>
                <w:color w:val="ED7D31" w:themeColor="accent2"/>
                <w:sz w:val="20"/>
                <w:szCs w:val="20"/>
                <w:lang w:val="en-GB" w:eastAsia="en-GB"/>
              </w:rPr>
              <w:t xml:space="preserve"> for SCS of SS/PBCH blocks of 15 kHz, and </w:t>
            </w:r>
            <m:oMath>
              <m:sSub>
                <m:sSubPr>
                  <m:ctrlPr>
                    <w:rPr>
                      <w:rFonts w:ascii="Cambria Math" w:eastAsia="Times New Roman" w:hAnsi="Cambria Math" w:cs="Times New Roman"/>
                      <w:i/>
                      <w:color w:val="ED7D31" w:themeColor="accent2"/>
                      <w:sz w:val="20"/>
                      <w:szCs w:val="20"/>
                      <w:lang w:val="en-GB" w:eastAsia="en-GB"/>
                    </w:rPr>
                  </m:ctrlPr>
                </m:sSubPr>
                <m:e>
                  <m:bar>
                    <m:barPr>
                      <m:pos m:val="top"/>
                      <m:ctrlPr>
                        <w:rPr>
                          <w:rFonts w:ascii="Cambria Math" w:eastAsia="Times New Roman" w:hAnsi="Cambria Math" w:cs="Times New Roman"/>
                          <w:i/>
                          <w:color w:val="ED7D31" w:themeColor="accent2"/>
                          <w:sz w:val="20"/>
                          <w:szCs w:val="20"/>
                          <w:lang w:val="en-GB" w:eastAsia="en-GB"/>
                        </w:rPr>
                      </m:ctrlPr>
                    </m:barPr>
                    <m:e>
                      <m:r>
                        <w:rPr>
                          <w:rFonts w:ascii="Cambria Math" w:eastAsia="Times New Roman" w:hAnsi="Times New Roman" w:cs="Times New Roman"/>
                          <w:color w:val="ED7D31" w:themeColor="accent2"/>
                          <w:sz w:val="20"/>
                          <w:szCs w:val="20"/>
                          <w:lang w:val="en-GB" w:eastAsia="en-GB"/>
                        </w:rPr>
                        <m:t>L</m:t>
                      </m:r>
                    </m:e>
                  </m:bar>
                </m:e>
                <m:sub>
                  <m:r>
                    <w:rPr>
                      <w:rFonts w:ascii="Cambria Math" w:eastAsia="Times New Roman" w:hAnsi="Times New Roman" w:cs="Times New Roman"/>
                      <w:color w:val="ED7D31" w:themeColor="accent2"/>
                      <w:sz w:val="20"/>
                      <w:szCs w:val="20"/>
                      <w:lang w:val="en-GB" w:eastAsia="en-GB"/>
                    </w:rPr>
                    <m:t>max</m:t>
                  </m:r>
                </m:sub>
              </m:sSub>
              <m:r>
                <w:rPr>
                  <w:rFonts w:ascii="Cambria Math" w:eastAsia="Times New Roman" w:hAnsi="Times New Roman" w:cs="Times New Roman"/>
                  <w:color w:val="ED7D31" w:themeColor="accent2"/>
                  <w:sz w:val="20"/>
                  <w:szCs w:val="20"/>
                  <w:lang w:val="en-GB" w:eastAsia="en-GB"/>
                </w:rPr>
                <m:t>=20</m:t>
              </m:r>
            </m:oMath>
            <w:r w:rsidRPr="00F31ABC">
              <w:rPr>
                <w:rFonts w:ascii="Times New Roman" w:eastAsia="Times New Roman" w:hAnsi="Times New Roman" w:cs="Times New Roman"/>
                <w:color w:val="ED7D31" w:themeColor="accent2"/>
                <w:sz w:val="20"/>
                <w:szCs w:val="20"/>
                <w:lang w:val="en-GB" w:eastAsia="en-GB"/>
              </w:rPr>
              <w:t xml:space="preserve"> for SCS of SS/PBCH blocks of 30 kHz. A UE determines the 3 LSB bits of </w:t>
            </w:r>
            <w:r w:rsidRPr="00F31ABC">
              <w:rPr>
                <w:rFonts w:ascii="Times New Roman" w:eastAsia="Times New Roman" w:hAnsi="Times New Roman" w:cs="Times New Roman"/>
                <w:color w:val="ED7D31" w:themeColor="accent2"/>
                <w:sz w:val="20"/>
                <w:szCs w:val="20"/>
                <w:highlight w:val="yellow"/>
                <w:lang w:val="en-GB" w:eastAsia="en-GB"/>
              </w:rPr>
              <w:t xml:space="preserve">an index of the candidate </w:t>
            </w:r>
            <w:r w:rsidRPr="00F31ABC">
              <w:rPr>
                <w:rFonts w:ascii="Times New Roman" w:eastAsia="Times New Roman" w:hAnsi="Times New Roman" w:cs="Times New Roman"/>
                <w:color w:val="ED7D31" w:themeColor="accent2"/>
                <w:sz w:val="20"/>
                <w:szCs w:val="20"/>
                <w:highlight w:val="yellow"/>
                <w:lang w:val="en-GB" w:eastAsia="ja-JP"/>
              </w:rPr>
              <w:t>SS/PBCH block</w:t>
            </w:r>
            <w:r w:rsidRPr="00F31ABC">
              <w:rPr>
                <w:rFonts w:ascii="Times New Roman" w:eastAsia="Times New Roman" w:hAnsi="Times New Roman" w:cs="Times New Roman"/>
                <w:color w:val="ED7D31" w:themeColor="accent2"/>
                <w:sz w:val="20"/>
                <w:szCs w:val="20"/>
                <w:lang w:val="en-GB" w:eastAsia="ja-JP"/>
              </w:rPr>
              <w:t xml:space="preserve"> per half frame from a one-to-one mapping with an index of the DM-RS sequence transmitted in the PBCH. For </w:t>
            </w:r>
            <m:oMath>
              <m:sSub>
                <m:sSubPr>
                  <m:ctrlPr>
                    <w:rPr>
                      <w:rFonts w:ascii="Cambria Math" w:eastAsia="Times New Roman" w:hAnsi="Cambria Math" w:cs="Times New Roman"/>
                      <w:i/>
                      <w:color w:val="ED7D31" w:themeColor="accent2"/>
                      <w:sz w:val="20"/>
                      <w:szCs w:val="20"/>
                      <w:lang w:val="en-GB" w:eastAsia="en-GB"/>
                    </w:rPr>
                  </m:ctrlPr>
                </m:sSubPr>
                <m:e>
                  <m:bar>
                    <m:barPr>
                      <m:pos m:val="top"/>
                      <m:ctrlPr>
                        <w:rPr>
                          <w:rFonts w:ascii="Cambria Math" w:eastAsia="Times New Roman" w:hAnsi="Cambria Math" w:cs="Times New Roman"/>
                          <w:i/>
                          <w:color w:val="ED7D31" w:themeColor="accent2"/>
                          <w:sz w:val="20"/>
                          <w:szCs w:val="20"/>
                          <w:lang w:val="en-GB" w:eastAsia="en-GB"/>
                        </w:rPr>
                      </m:ctrlPr>
                    </m:barPr>
                    <m:e>
                      <m:r>
                        <w:rPr>
                          <w:rFonts w:ascii="Cambria Math" w:eastAsia="Times New Roman" w:hAnsi="Times New Roman" w:cs="Times New Roman"/>
                          <w:color w:val="ED7D31" w:themeColor="accent2"/>
                          <w:sz w:val="20"/>
                          <w:szCs w:val="20"/>
                          <w:lang w:val="en-GB" w:eastAsia="en-GB"/>
                        </w:rPr>
                        <m:t>L</m:t>
                      </m:r>
                    </m:e>
                  </m:bar>
                </m:e>
                <m:sub>
                  <m:r>
                    <w:rPr>
                      <w:rFonts w:ascii="Cambria Math" w:eastAsia="Times New Roman" w:hAnsi="Times New Roman" w:cs="Times New Roman"/>
                      <w:color w:val="ED7D31" w:themeColor="accent2"/>
                      <w:sz w:val="20"/>
                      <w:szCs w:val="20"/>
                      <w:lang w:val="en-GB" w:eastAsia="en-GB"/>
                    </w:rPr>
                    <m:t>max</m:t>
                  </m:r>
                </m:sub>
              </m:sSub>
              <m:r>
                <w:rPr>
                  <w:rFonts w:ascii="Cambria Math" w:eastAsia="Times New Roman" w:hAnsi="Times New Roman" w:cs="Times New Roman"/>
                  <w:color w:val="ED7D31" w:themeColor="accent2"/>
                  <w:sz w:val="20"/>
                  <w:szCs w:val="20"/>
                  <w:lang w:val="en-GB" w:eastAsia="en-GB"/>
                </w:rPr>
                <m:t>=10</m:t>
              </m:r>
            </m:oMath>
            <w:r w:rsidRPr="00F31ABC">
              <w:rPr>
                <w:rFonts w:ascii="Times New Roman" w:eastAsia="Times New Roman" w:hAnsi="Times New Roman" w:cs="Times New Roman"/>
                <w:color w:val="ED7D31" w:themeColor="accent2"/>
                <w:sz w:val="20"/>
                <w:szCs w:val="20"/>
                <w:lang w:val="en-GB" w:eastAsia="en-GB"/>
              </w:rPr>
              <w:t>,</w:t>
            </w:r>
            <w:r w:rsidRPr="00F31ABC">
              <w:rPr>
                <w:rFonts w:ascii="Times New Roman" w:eastAsia="Times New Roman" w:hAnsi="Times New Roman" w:cs="Times New Roman"/>
                <w:color w:val="ED7D31" w:themeColor="accent2"/>
                <w:sz w:val="20"/>
                <w:szCs w:val="20"/>
                <w:lang w:val="en-GB" w:eastAsia="ja-JP"/>
              </w:rPr>
              <w:t xml:space="preserve"> the UE</w:t>
            </w:r>
            <w:r w:rsidRPr="00F31ABC">
              <w:rPr>
                <w:rFonts w:ascii="Times New Roman" w:eastAsia="Times New Roman" w:hAnsi="Times New Roman" w:cs="Times New Roman"/>
                <w:color w:val="ED7D31" w:themeColor="accent2"/>
                <w:sz w:val="20"/>
                <w:szCs w:val="20"/>
                <w:lang w:val="en-GB" w:eastAsia="en-GB"/>
              </w:rPr>
              <w:t xml:space="preserve"> determines the 1 MSB bit of </w:t>
            </w:r>
            <w:r w:rsidRPr="00F31ABC">
              <w:rPr>
                <w:rFonts w:ascii="Times New Roman" w:eastAsia="Times New Roman" w:hAnsi="Times New Roman" w:cs="Times New Roman"/>
                <w:color w:val="ED7D31" w:themeColor="accent2"/>
                <w:sz w:val="20"/>
                <w:szCs w:val="20"/>
                <w:highlight w:val="yellow"/>
                <w:lang w:val="en-GB" w:eastAsia="en-GB"/>
              </w:rPr>
              <w:t xml:space="preserve">the index of the candidate </w:t>
            </w:r>
            <w:r w:rsidRPr="00F31ABC">
              <w:rPr>
                <w:rFonts w:ascii="Times New Roman" w:eastAsia="Times New Roman" w:hAnsi="Times New Roman" w:cs="Times New Roman"/>
                <w:color w:val="ED7D31" w:themeColor="accent2"/>
                <w:sz w:val="20"/>
                <w:szCs w:val="20"/>
                <w:highlight w:val="yellow"/>
                <w:lang w:val="en-GB" w:eastAsia="ja-JP"/>
              </w:rPr>
              <w:t>SS/PBCH block</w:t>
            </w:r>
            <w:r w:rsidRPr="00F31ABC">
              <w:rPr>
                <w:rFonts w:ascii="Times New Roman" w:eastAsia="Times New Roman" w:hAnsi="Times New Roman" w:cs="Times New Roman"/>
                <w:color w:val="ED7D31" w:themeColor="accent2"/>
                <w:sz w:val="20"/>
                <w:szCs w:val="20"/>
                <w:lang w:val="en-GB" w:eastAsia="ja-JP"/>
              </w:rPr>
              <w:t xml:space="preserve"> per half frame </w:t>
            </w:r>
            <w:r w:rsidRPr="00F31ABC">
              <w:rPr>
                <w:rFonts w:ascii="Times New Roman" w:eastAsia="Times New Roman" w:hAnsi="Times New Roman" w:cs="Times New Roman"/>
                <w:color w:val="ED7D31" w:themeColor="accent2"/>
                <w:sz w:val="20"/>
                <w:szCs w:val="20"/>
                <w:lang w:val="en-GB" w:eastAsia="en-GB"/>
              </w:rPr>
              <w:t xml:space="preserve">from PBCH payload bit </w:t>
            </w:r>
            <m:oMath>
              <m:sSub>
                <m:sSubPr>
                  <m:ctrlPr>
                    <w:rPr>
                      <w:rFonts w:ascii="Cambria Math" w:eastAsia="Times New Roman" w:hAnsi="Cambria Math" w:cs="Times New Roman"/>
                      <w:i/>
                      <w:color w:val="ED7D31" w:themeColor="accent2"/>
                      <w:sz w:val="20"/>
                      <w:szCs w:val="20"/>
                      <w:lang w:val="en-GB" w:eastAsia="en-GB"/>
                    </w:rPr>
                  </m:ctrlPr>
                </m:sSubPr>
                <m:e>
                  <m:acc>
                    <m:accPr>
                      <m:chr m:val="̄"/>
                      <m:ctrlPr>
                        <w:rPr>
                          <w:rFonts w:ascii="Cambria Math" w:eastAsia="Times New Roman" w:hAnsi="Cambria Math" w:cs="Times New Roman"/>
                          <w:i/>
                          <w:color w:val="ED7D31" w:themeColor="accent2"/>
                          <w:sz w:val="20"/>
                          <w:szCs w:val="20"/>
                          <w:lang w:val="en-GB" w:eastAsia="en-GB"/>
                        </w:rPr>
                      </m:ctrlPr>
                    </m:accPr>
                    <m:e>
                      <m:r>
                        <w:rPr>
                          <w:rFonts w:ascii="Cambria Math" w:eastAsia="Times New Roman" w:hAnsi="Times New Roman" w:cs="Times New Roman"/>
                          <w:color w:val="ED7D31" w:themeColor="accent2"/>
                          <w:sz w:val="20"/>
                          <w:szCs w:val="20"/>
                          <w:lang w:val="en-GB" w:eastAsia="en-GB"/>
                        </w:rPr>
                        <m:t>a</m:t>
                      </m:r>
                    </m:e>
                  </m:acc>
                </m:e>
                <m:sub>
                  <m:acc>
                    <m:accPr>
                      <m:chr m:val="̄"/>
                      <m:ctrlPr>
                        <w:rPr>
                          <w:rFonts w:ascii="Cambria Math" w:eastAsia="Times New Roman" w:hAnsi="Cambria Math" w:cs="Times New Roman"/>
                          <w:i/>
                          <w:color w:val="ED7D31" w:themeColor="accent2"/>
                          <w:sz w:val="20"/>
                          <w:szCs w:val="20"/>
                          <w:lang w:val="en-GB" w:eastAsia="en-GB"/>
                        </w:rPr>
                      </m:ctrlPr>
                    </m:accPr>
                    <m:e>
                      <m:r>
                        <w:rPr>
                          <w:rFonts w:ascii="Cambria Math" w:eastAsia="Times New Roman" w:hAnsi="Times New Roman" w:cs="Times New Roman"/>
                          <w:color w:val="ED7D31" w:themeColor="accent2"/>
                          <w:sz w:val="20"/>
                          <w:szCs w:val="20"/>
                          <w:lang w:val="en-GB" w:eastAsia="en-GB"/>
                        </w:rPr>
                        <m:t>A</m:t>
                      </m:r>
                    </m:e>
                  </m:acc>
                  <m:r>
                    <w:rPr>
                      <w:rFonts w:ascii="Cambria Math" w:eastAsia="Times New Roman" w:hAnsi="Times New Roman" w:cs="Times New Roman"/>
                      <w:color w:val="ED7D31" w:themeColor="accent2"/>
                      <w:sz w:val="20"/>
                      <w:szCs w:val="20"/>
                      <w:lang w:val="en-GB" w:eastAsia="en-GB"/>
                    </w:rPr>
                    <m:t>+7</m:t>
                  </m:r>
                </m:sub>
              </m:sSub>
            </m:oMath>
            <w:r w:rsidRPr="00F31ABC">
              <w:rPr>
                <w:rFonts w:ascii="Times New Roman" w:eastAsia="Times New Roman" w:hAnsi="Times New Roman" w:cs="Times New Roman"/>
                <w:color w:val="ED7D31" w:themeColor="accent2"/>
                <w:sz w:val="20"/>
                <w:szCs w:val="20"/>
                <w:lang w:val="en-GB" w:eastAsia="en-GB"/>
              </w:rPr>
              <w:t>.</w:t>
            </w:r>
            <w:r w:rsidRPr="00F31ABC">
              <w:rPr>
                <w:rFonts w:ascii="Times New Roman" w:eastAsia="Times New Roman" w:hAnsi="Times New Roman" w:cs="Times New Roman"/>
                <w:color w:val="ED7D31" w:themeColor="accent2"/>
                <w:sz w:val="20"/>
                <w:szCs w:val="20"/>
                <w:lang w:val="en-GB" w:eastAsia="ja-JP"/>
              </w:rPr>
              <w:t xml:space="preserve"> For </w:t>
            </w:r>
            <m:oMath>
              <m:sSub>
                <m:sSubPr>
                  <m:ctrlPr>
                    <w:rPr>
                      <w:rFonts w:ascii="Cambria Math" w:eastAsia="Times New Roman" w:hAnsi="Cambria Math" w:cs="Times New Roman"/>
                      <w:i/>
                      <w:color w:val="ED7D31" w:themeColor="accent2"/>
                      <w:sz w:val="20"/>
                      <w:szCs w:val="20"/>
                      <w:lang w:val="en-GB" w:eastAsia="en-GB"/>
                    </w:rPr>
                  </m:ctrlPr>
                </m:sSubPr>
                <m:e>
                  <m:bar>
                    <m:barPr>
                      <m:pos m:val="top"/>
                      <m:ctrlPr>
                        <w:rPr>
                          <w:rFonts w:ascii="Cambria Math" w:eastAsia="Times New Roman" w:hAnsi="Cambria Math" w:cs="Times New Roman"/>
                          <w:i/>
                          <w:color w:val="ED7D31" w:themeColor="accent2"/>
                          <w:sz w:val="20"/>
                          <w:szCs w:val="20"/>
                          <w:lang w:val="en-GB" w:eastAsia="en-GB"/>
                        </w:rPr>
                      </m:ctrlPr>
                    </m:barPr>
                    <m:e>
                      <m:r>
                        <w:rPr>
                          <w:rFonts w:ascii="Cambria Math" w:eastAsia="Times New Roman" w:hAnsi="Times New Roman" w:cs="Times New Roman"/>
                          <w:color w:val="ED7D31" w:themeColor="accent2"/>
                          <w:sz w:val="20"/>
                          <w:szCs w:val="20"/>
                          <w:lang w:val="en-GB" w:eastAsia="en-GB"/>
                        </w:rPr>
                        <m:t>L</m:t>
                      </m:r>
                    </m:e>
                  </m:bar>
                </m:e>
                <m:sub>
                  <m:r>
                    <w:rPr>
                      <w:rFonts w:ascii="Cambria Math" w:eastAsia="Times New Roman" w:hAnsi="Times New Roman" w:cs="Times New Roman"/>
                      <w:color w:val="ED7D31" w:themeColor="accent2"/>
                      <w:sz w:val="20"/>
                      <w:szCs w:val="20"/>
                      <w:lang w:val="en-GB" w:eastAsia="en-GB"/>
                    </w:rPr>
                    <m:t>max</m:t>
                  </m:r>
                </m:sub>
              </m:sSub>
              <m:r>
                <w:rPr>
                  <w:rFonts w:ascii="Cambria Math" w:eastAsia="Times New Roman" w:hAnsi="Times New Roman" w:cs="Times New Roman"/>
                  <w:color w:val="ED7D31" w:themeColor="accent2"/>
                  <w:sz w:val="20"/>
                  <w:szCs w:val="20"/>
                  <w:lang w:val="en-GB" w:eastAsia="en-GB"/>
                </w:rPr>
                <m:t>=20</m:t>
              </m:r>
            </m:oMath>
            <w:r w:rsidRPr="00F31ABC">
              <w:rPr>
                <w:rFonts w:ascii="Times New Roman" w:eastAsia="Times New Roman" w:hAnsi="Times New Roman" w:cs="Times New Roman"/>
                <w:color w:val="ED7D31" w:themeColor="accent2"/>
                <w:sz w:val="20"/>
                <w:szCs w:val="20"/>
                <w:lang w:val="en-GB" w:eastAsia="en-GB"/>
              </w:rPr>
              <w:t>,</w:t>
            </w:r>
            <w:r w:rsidRPr="00F31ABC">
              <w:rPr>
                <w:rFonts w:ascii="Times New Roman" w:eastAsia="Times New Roman" w:hAnsi="Times New Roman" w:cs="Times New Roman"/>
                <w:color w:val="ED7D31" w:themeColor="accent2"/>
                <w:sz w:val="20"/>
                <w:szCs w:val="20"/>
                <w:lang w:val="en-GB" w:eastAsia="ja-JP"/>
              </w:rPr>
              <w:t xml:space="preserve"> the UE</w:t>
            </w:r>
            <w:r w:rsidRPr="00F31ABC">
              <w:rPr>
                <w:rFonts w:ascii="Times New Roman" w:eastAsia="Times New Roman" w:hAnsi="Times New Roman" w:cs="Times New Roman"/>
                <w:color w:val="ED7D31" w:themeColor="accent2"/>
                <w:sz w:val="20"/>
                <w:szCs w:val="20"/>
                <w:lang w:val="en-GB" w:eastAsia="en-GB"/>
              </w:rPr>
              <w:t xml:space="preserve"> determines the 2 MSB bits of the </w:t>
            </w:r>
            <w:r w:rsidRPr="00F31ABC">
              <w:rPr>
                <w:rFonts w:ascii="Times New Roman" w:eastAsia="Times New Roman" w:hAnsi="Times New Roman" w:cs="Times New Roman"/>
                <w:color w:val="ED7D31" w:themeColor="accent2"/>
                <w:sz w:val="20"/>
                <w:szCs w:val="20"/>
                <w:highlight w:val="yellow"/>
                <w:lang w:val="en-GB" w:eastAsia="en-GB"/>
              </w:rPr>
              <w:t xml:space="preserve">index of the candidate </w:t>
            </w:r>
            <w:r w:rsidRPr="00F31ABC">
              <w:rPr>
                <w:rFonts w:ascii="Times New Roman" w:eastAsia="Times New Roman" w:hAnsi="Times New Roman" w:cs="Times New Roman"/>
                <w:color w:val="ED7D31" w:themeColor="accent2"/>
                <w:sz w:val="20"/>
                <w:szCs w:val="20"/>
                <w:highlight w:val="yellow"/>
                <w:lang w:val="en-GB" w:eastAsia="ja-JP"/>
              </w:rPr>
              <w:t>SS/PBCH block</w:t>
            </w:r>
            <w:r w:rsidRPr="00F31ABC">
              <w:rPr>
                <w:rFonts w:ascii="Times New Roman" w:eastAsia="Times New Roman" w:hAnsi="Times New Roman" w:cs="Times New Roman"/>
                <w:color w:val="ED7D31" w:themeColor="accent2"/>
                <w:sz w:val="20"/>
                <w:szCs w:val="20"/>
                <w:lang w:val="en-GB" w:eastAsia="ja-JP"/>
              </w:rPr>
              <w:t xml:space="preserve"> per half frame </w:t>
            </w:r>
            <w:r w:rsidRPr="00F31ABC">
              <w:rPr>
                <w:rFonts w:ascii="Times New Roman" w:eastAsia="Times New Roman" w:hAnsi="Times New Roman" w:cs="Times New Roman"/>
                <w:color w:val="ED7D31" w:themeColor="accent2"/>
                <w:sz w:val="20"/>
                <w:szCs w:val="20"/>
                <w:lang w:val="en-GB" w:eastAsia="en-GB"/>
              </w:rPr>
              <w:t xml:space="preserve">from PBCH payload bits </w:t>
            </w:r>
            <m:oMath>
              <m:sSub>
                <m:sSubPr>
                  <m:ctrlPr>
                    <w:rPr>
                      <w:rFonts w:ascii="Cambria Math" w:eastAsia="Times New Roman" w:hAnsi="Cambria Math" w:cs="Times New Roman"/>
                      <w:i/>
                      <w:color w:val="ED7D31" w:themeColor="accent2"/>
                      <w:sz w:val="20"/>
                      <w:szCs w:val="20"/>
                      <w:lang w:val="en-GB" w:eastAsia="en-GB"/>
                    </w:rPr>
                  </m:ctrlPr>
                </m:sSubPr>
                <m:e>
                  <m:acc>
                    <m:accPr>
                      <m:chr m:val="̄"/>
                      <m:ctrlPr>
                        <w:rPr>
                          <w:rFonts w:ascii="Cambria Math" w:eastAsia="Times New Roman" w:hAnsi="Cambria Math" w:cs="Times New Roman"/>
                          <w:i/>
                          <w:color w:val="ED7D31" w:themeColor="accent2"/>
                          <w:sz w:val="20"/>
                          <w:szCs w:val="20"/>
                          <w:lang w:val="en-GB" w:eastAsia="en-GB"/>
                        </w:rPr>
                      </m:ctrlPr>
                    </m:accPr>
                    <m:e>
                      <m:r>
                        <w:rPr>
                          <w:rFonts w:ascii="Cambria Math" w:eastAsia="Times New Roman" w:hAnsi="Times New Roman" w:cs="Times New Roman"/>
                          <w:color w:val="ED7D31" w:themeColor="accent2"/>
                          <w:sz w:val="20"/>
                          <w:szCs w:val="20"/>
                          <w:lang w:val="en-GB" w:eastAsia="en-GB"/>
                        </w:rPr>
                        <m:t>a</m:t>
                      </m:r>
                    </m:e>
                  </m:acc>
                </m:e>
                <m:sub>
                  <m:acc>
                    <m:accPr>
                      <m:chr m:val="̄"/>
                      <m:ctrlPr>
                        <w:rPr>
                          <w:rFonts w:ascii="Cambria Math" w:eastAsia="Times New Roman" w:hAnsi="Cambria Math" w:cs="Times New Roman"/>
                          <w:i/>
                          <w:color w:val="ED7D31" w:themeColor="accent2"/>
                          <w:sz w:val="20"/>
                          <w:szCs w:val="20"/>
                          <w:lang w:val="en-GB" w:eastAsia="en-GB"/>
                        </w:rPr>
                      </m:ctrlPr>
                    </m:accPr>
                    <m:e>
                      <m:r>
                        <w:rPr>
                          <w:rFonts w:ascii="Cambria Math" w:eastAsia="Times New Roman" w:hAnsi="Times New Roman" w:cs="Times New Roman"/>
                          <w:color w:val="ED7D31" w:themeColor="accent2"/>
                          <w:sz w:val="20"/>
                          <w:szCs w:val="20"/>
                          <w:lang w:val="en-GB" w:eastAsia="en-GB"/>
                        </w:rPr>
                        <m:t>A</m:t>
                      </m:r>
                    </m:e>
                  </m:acc>
                  <m:r>
                    <w:rPr>
                      <w:rFonts w:ascii="Cambria Math" w:eastAsia="Times New Roman" w:hAnsi="Times New Roman" w:cs="Times New Roman"/>
                      <w:color w:val="ED7D31" w:themeColor="accent2"/>
                      <w:sz w:val="20"/>
                      <w:szCs w:val="20"/>
                      <w:lang w:val="en-GB" w:eastAsia="en-GB"/>
                    </w:rPr>
                    <m:t>+6</m:t>
                  </m:r>
                </m:sub>
              </m:sSub>
              <m:r>
                <w:rPr>
                  <w:rFonts w:ascii="Cambria Math" w:eastAsia="Times New Roman" w:hAnsi="Times New Roman" w:cs="Times New Roman"/>
                  <w:color w:val="ED7D31" w:themeColor="accent2"/>
                  <w:sz w:val="20"/>
                  <w:szCs w:val="20"/>
                  <w:lang w:val="en-GB" w:eastAsia="en-GB"/>
                </w:rPr>
                <m:t>,</m:t>
              </m:r>
              <m:sSub>
                <m:sSubPr>
                  <m:ctrlPr>
                    <w:rPr>
                      <w:rFonts w:ascii="Cambria Math" w:eastAsia="Times New Roman" w:hAnsi="Cambria Math" w:cs="Times New Roman"/>
                      <w:i/>
                      <w:color w:val="ED7D31" w:themeColor="accent2"/>
                      <w:sz w:val="20"/>
                      <w:szCs w:val="20"/>
                      <w:lang w:val="en-GB" w:eastAsia="en-GB"/>
                    </w:rPr>
                  </m:ctrlPr>
                </m:sSubPr>
                <m:e>
                  <m:acc>
                    <m:accPr>
                      <m:chr m:val="̄"/>
                      <m:ctrlPr>
                        <w:rPr>
                          <w:rFonts w:ascii="Cambria Math" w:eastAsia="Times New Roman" w:hAnsi="Cambria Math" w:cs="Times New Roman"/>
                          <w:i/>
                          <w:color w:val="ED7D31" w:themeColor="accent2"/>
                          <w:sz w:val="20"/>
                          <w:szCs w:val="20"/>
                          <w:lang w:val="en-GB" w:eastAsia="en-GB"/>
                        </w:rPr>
                      </m:ctrlPr>
                    </m:accPr>
                    <m:e>
                      <m:r>
                        <w:rPr>
                          <w:rFonts w:ascii="Cambria Math" w:eastAsia="Times New Roman" w:hAnsi="Times New Roman" w:cs="Times New Roman"/>
                          <w:color w:val="ED7D31" w:themeColor="accent2"/>
                          <w:sz w:val="20"/>
                          <w:szCs w:val="20"/>
                          <w:lang w:val="en-GB" w:eastAsia="en-GB"/>
                        </w:rPr>
                        <m:t>a</m:t>
                      </m:r>
                    </m:e>
                  </m:acc>
                </m:e>
                <m:sub>
                  <m:acc>
                    <m:accPr>
                      <m:chr m:val="̄"/>
                      <m:ctrlPr>
                        <w:rPr>
                          <w:rFonts w:ascii="Cambria Math" w:eastAsia="Times New Roman" w:hAnsi="Cambria Math" w:cs="Times New Roman"/>
                          <w:i/>
                          <w:color w:val="ED7D31" w:themeColor="accent2"/>
                          <w:sz w:val="20"/>
                          <w:szCs w:val="20"/>
                          <w:lang w:val="en-GB" w:eastAsia="en-GB"/>
                        </w:rPr>
                      </m:ctrlPr>
                    </m:accPr>
                    <m:e>
                      <m:r>
                        <w:rPr>
                          <w:rFonts w:ascii="Cambria Math" w:eastAsia="Times New Roman" w:hAnsi="Times New Roman" w:cs="Times New Roman"/>
                          <w:color w:val="ED7D31" w:themeColor="accent2"/>
                          <w:sz w:val="20"/>
                          <w:szCs w:val="20"/>
                          <w:lang w:val="en-GB" w:eastAsia="en-GB"/>
                        </w:rPr>
                        <m:t>A</m:t>
                      </m:r>
                    </m:e>
                  </m:acc>
                  <m:r>
                    <w:rPr>
                      <w:rFonts w:ascii="Cambria Math" w:eastAsia="Times New Roman" w:hAnsi="Times New Roman" w:cs="Times New Roman"/>
                      <w:color w:val="ED7D31" w:themeColor="accent2"/>
                      <w:sz w:val="20"/>
                      <w:szCs w:val="20"/>
                      <w:lang w:val="en-GB" w:eastAsia="en-GB"/>
                    </w:rPr>
                    <m:t>+7</m:t>
                  </m:r>
                </m:sub>
              </m:sSub>
            </m:oMath>
            <w:r w:rsidRPr="00F31ABC">
              <w:rPr>
                <w:rFonts w:ascii="Times New Roman" w:eastAsia="Times New Roman" w:hAnsi="Times New Roman" w:cs="Times New Roman"/>
                <w:color w:val="ED7D31" w:themeColor="accent2"/>
                <w:sz w:val="20"/>
                <w:szCs w:val="20"/>
                <w:lang w:val="en-GB" w:eastAsia="en-GB"/>
              </w:rPr>
              <w:t xml:space="preserve"> as described in [5, TS 38.212]</w:t>
            </w:r>
            <w:r w:rsidRPr="00F31ABC">
              <w:rPr>
                <w:rFonts w:ascii="Times New Roman" w:eastAsia="Times New Roman" w:hAnsi="Times New Roman" w:cs="Times New Roman"/>
                <w:color w:val="ED7D31" w:themeColor="accent2"/>
                <w:sz w:val="20"/>
                <w:szCs w:val="20"/>
                <w:lang w:val="en-GB" w:eastAsia="ja-JP"/>
              </w:rPr>
              <w:t>.</w:t>
            </w:r>
          </w:p>
          <w:p w14:paraId="64A47203" w14:textId="77777777" w:rsidR="00D219C2" w:rsidRPr="00F31ABC" w:rsidRDefault="00D219C2" w:rsidP="00D219C2">
            <w:pPr>
              <w:overflowPunct w:val="0"/>
              <w:autoSpaceDE w:val="0"/>
              <w:autoSpaceDN w:val="0"/>
              <w:adjustRightInd w:val="0"/>
              <w:textAlignment w:val="baseline"/>
              <w:rPr>
                <w:rFonts w:ascii="Times New Roman" w:eastAsia="Times New Roman" w:hAnsi="Times New Roman" w:cs="Times New Roman"/>
                <w:sz w:val="20"/>
                <w:szCs w:val="20"/>
                <w:lang w:val="en-GB" w:eastAsia="en-GB"/>
              </w:rPr>
            </w:pPr>
            <w:r w:rsidRPr="00F31ABC">
              <w:rPr>
                <w:rFonts w:ascii="Times New Roman" w:eastAsia="Times New Roman" w:hAnsi="Times New Roman" w:cs="Times New Roman"/>
                <w:sz w:val="20"/>
                <w:szCs w:val="20"/>
                <w:lang w:val="en-GB" w:eastAsia="en-GB"/>
              </w:rPr>
              <w:t xml:space="preserve">A UE can be provided per serving cell by </w:t>
            </w:r>
            <w:proofErr w:type="spellStart"/>
            <w:r w:rsidRPr="00F31ABC">
              <w:rPr>
                <w:rFonts w:ascii="Times New Roman" w:eastAsia="Times New Roman" w:hAnsi="Times New Roman" w:cs="Times New Roman"/>
                <w:i/>
                <w:sz w:val="20"/>
                <w:szCs w:val="20"/>
                <w:lang w:val="en-GB" w:eastAsia="en-GB"/>
              </w:rPr>
              <w:t>ssb-periodicityServingCell</w:t>
            </w:r>
            <w:proofErr w:type="spellEnd"/>
            <w:r w:rsidRPr="00F31ABC">
              <w:rPr>
                <w:rFonts w:ascii="Times New Roman" w:eastAsia="Times New Roman" w:hAnsi="Times New Roman" w:cs="Times New Roman"/>
                <w:sz w:val="20"/>
                <w:szCs w:val="20"/>
                <w:lang w:val="en-GB" w:eastAsia="en-GB"/>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13B6C492" w14:textId="77777777" w:rsidR="00D219C2" w:rsidRPr="00F31ABC" w:rsidRDefault="00D219C2" w:rsidP="00D219C2">
            <w:pPr>
              <w:overflowPunct w:val="0"/>
              <w:autoSpaceDE w:val="0"/>
              <w:autoSpaceDN w:val="0"/>
              <w:adjustRightInd w:val="0"/>
              <w:textAlignment w:val="baseline"/>
              <w:rPr>
                <w:rFonts w:ascii="Times New Roman" w:eastAsia="Times New Roman" w:hAnsi="Times New Roman" w:cs="Times New Roman"/>
                <w:sz w:val="20"/>
                <w:szCs w:val="20"/>
                <w:lang w:val="en-GB" w:eastAsia="en-GB"/>
              </w:rPr>
            </w:pPr>
            <w:r w:rsidRPr="00F31ABC">
              <w:rPr>
                <w:rFonts w:ascii="Times New Roman" w:eastAsia="Times New Roman" w:hAnsi="Times New Roman" w:cs="Times New Roman"/>
                <w:sz w:val="20"/>
                <w:szCs w:val="20"/>
                <w:lang w:val="en-GB" w:eastAsia="en-GB"/>
              </w:rPr>
              <w:t xml:space="preserve">For initial cell selection, a UE may assume that half frames with SS/PBCH blocks occur with a periodicity of 2 frames. </w:t>
            </w:r>
          </w:p>
          <w:p w14:paraId="659FC298" w14:textId="717E6A9C" w:rsidR="00D219C2" w:rsidRPr="00F31ABC" w:rsidRDefault="00D219C2" w:rsidP="00D219C2">
            <w:pPr>
              <w:overflowPunct w:val="0"/>
              <w:autoSpaceDE w:val="0"/>
              <w:autoSpaceDN w:val="0"/>
              <w:adjustRightInd w:val="0"/>
              <w:textAlignment w:val="baseline"/>
              <w:rPr>
                <w:rFonts w:ascii="Times New Roman" w:eastAsia="Times New Roman" w:hAnsi="Times New Roman" w:cs="Times New Roman"/>
                <w:color w:val="ED7D31" w:themeColor="accent2"/>
                <w:sz w:val="20"/>
                <w:szCs w:val="20"/>
                <w:lang w:val="en-GB" w:eastAsia="en-GB"/>
              </w:rPr>
            </w:pPr>
            <w:r w:rsidRPr="00F31ABC">
              <w:rPr>
                <w:rFonts w:ascii="Times New Roman" w:eastAsia="Times New Roman" w:hAnsi="Times New Roman" w:cs="Times New Roman"/>
                <w:color w:val="ED7D31" w:themeColor="accent2"/>
                <w:sz w:val="20"/>
                <w:szCs w:val="20"/>
                <w:lang w:val="en-GB" w:eastAsia="en-GB"/>
              </w:rPr>
              <w:lastRenderedPageBreak/>
              <w:t xml:space="preserve">For operation with shared spectrum channel access, a UE assumes that transmission of SS/PBCH blocks in a half frame is within a discovery </w:t>
            </w:r>
            <w:r w:rsidR="00C82440">
              <w:rPr>
                <w:rFonts w:ascii="Times New Roman" w:eastAsia="Times New Roman" w:hAnsi="Times New Roman" w:cs="Times New Roman"/>
                <w:color w:val="ED7D31" w:themeColor="accent2"/>
                <w:sz w:val="20"/>
                <w:szCs w:val="20"/>
                <w:lang w:val="en-GB" w:eastAsia="en-GB"/>
              </w:rPr>
              <w:t>burst</w:t>
            </w:r>
            <w:r w:rsidRPr="00F31ABC">
              <w:rPr>
                <w:rFonts w:ascii="Times New Roman" w:eastAsia="Times New Roman" w:hAnsi="Times New Roman" w:cs="Times New Roman"/>
                <w:color w:val="ED7D31" w:themeColor="accent2"/>
                <w:sz w:val="20"/>
                <w:szCs w:val="20"/>
                <w:lang w:val="en-GB" w:eastAsia="en-GB"/>
              </w:rPr>
              <w:t xml:space="preserve"> transmission window</w:t>
            </w:r>
            <w:r w:rsidR="00C82440">
              <w:rPr>
                <w:rFonts w:ascii="Times New Roman" w:eastAsia="Times New Roman" w:hAnsi="Times New Roman" w:cs="Times New Roman"/>
                <w:color w:val="ED7D31" w:themeColor="accent2"/>
                <w:sz w:val="20"/>
                <w:szCs w:val="20"/>
                <w:lang w:val="en-GB" w:eastAsia="en-GB"/>
              </w:rPr>
              <w:t xml:space="preserve"> that</w:t>
            </w:r>
            <w:r w:rsidRPr="00F31ABC">
              <w:rPr>
                <w:rFonts w:ascii="Times New Roman" w:eastAsia="Times New Roman" w:hAnsi="Times New Roman" w:cs="Times New Roman"/>
                <w:color w:val="ED7D31" w:themeColor="accent2"/>
                <w:sz w:val="20"/>
                <w:szCs w:val="20"/>
                <w:lang w:val="en-GB" w:eastAsia="en-GB"/>
              </w:rPr>
              <w:t xml:space="preserve"> starts from the first symbol of the first slot in a half-frame and has a duration provided by </w:t>
            </w:r>
            <w:r w:rsidRPr="00F31ABC">
              <w:rPr>
                <w:rFonts w:ascii="Times New Roman" w:eastAsia="Times New Roman" w:hAnsi="Times New Roman" w:cs="Times New Roman"/>
                <w:i/>
                <w:color w:val="ED7D31" w:themeColor="accent2"/>
                <w:sz w:val="20"/>
                <w:szCs w:val="20"/>
                <w:lang w:val="en-GB" w:eastAsia="en-GB"/>
              </w:rPr>
              <w:t>DRS-WindowLength-r16</w:t>
            </w:r>
            <w:r w:rsidRPr="00F31ABC">
              <w:rPr>
                <w:rFonts w:ascii="Times New Roman" w:eastAsia="Times New Roman" w:hAnsi="Times New Roman" w:cs="Times New Roman"/>
                <w:color w:val="ED7D31" w:themeColor="accent2"/>
                <w:sz w:val="20"/>
                <w:szCs w:val="20"/>
                <w:lang w:val="en-GB" w:eastAsia="en-GB"/>
              </w:rPr>
              <w:t xml:space="preserve">. For a serving cell, the UE assumes that a periodicity of the </w:t>
            </w:r>
            <w:r w:rsidR="00C82440">
              <w:rPr>
                <w:rFonts w:ascii="Times New Roman" w:eastAsia="Times New Roman" w:hAnsi="Times New Roman" w:cs="Times New Roman"/>
                <w:color w:val="ED7D31" w:themeColor="accent2"/>
                <w:sz w:val="20"/>
                <w:szCs w:val="20"/>
                <w:lang w:val="en-GB" w:eastAsia="en-GB"/>
              </w:rPr>
              <w:t>discovery burst</w:t>
            </w:r>
            <w:r w:rsidR="00C82440" w:rsidRPr="00F31ABC">
              <w:rPr>
                <w:rFonts w:ascii="Times New Roman" w:eastAsia="Times New Roman" w:hAnsi="Times New Roman" w:cs="Times New Roman"/>
                <w:color w:val="ED7D31" w:themeColor="accent2"/>
                <w:sz w:val="20"/>
                <w:szCs w:val="20"/>
                <w:lang w:val="en-GB" w:eastAsia="en-GB"/>
              </w:rPr>
              <w:t xml:space="preserve"> </w:t>
            </w:r>
            <w:r w:rsidRPr="00F31ABC">
              <w:rPr>
                <w:rFonts w:ascii="Times New Roman" w:eastAsia="Times New Roman" w:hAnsi="Times New Roman" w:cs="Times New Roman"/>
                <w:color w:val="ED7D31" w:themeColor="accent2"/>
                <w:sz w:val="20"/>
                <w:szCs w:val="20"/>
                <w:lang w:val="en-GB" w:eastAsia="en-GB"/>
              </w:rPr>
              <w:t xml:space="preserve">transmission window is same as a periodicity of half frames for receptions of SS/PBCH blocks in the serving cell. </w:t>
            </w:r>
          </w:p>
          <w:p w14:paraId="1A6666E5" w14:textId="6408DE78" w:rsidR="00D219C2" w:rsidRPr="00D219C2" w:rsidRDefault="00D219C2" w:rsidP="00D219C2">
            <w:pPr>
              <w:overflowPunct w:val="0"/>
              <w:autoSpaceDE w:val="0"/>
              <w:autoSpaceDN w:val="0"/>
              <w:adjustRightInd w:val="0"/>
              <w:textAlignment w:val="baseline"/>
              <w:rPr>
                <w:b/>
                <w:lang w:val="en-GB"/>
              </w:rPr>
            </w:pPr>
            <w:r w:rsidRPr="00F31ABC">
              <w:rPr>
                <w:rFonts w:ascii="Times New Roman" w:eastAsia="Times New Roman" w:hAnsi="Times New Roman" w:cs="Times New Roman"/>
                <w:color w:val="ED7D31" w:themeColor="accent2"/>
                <w:sz w:val="20"/>
                <w:szCs w:val="20"/>
                <w:lang w:val="en-GB" w:eastAsia="en-GB"/>
              </w:rPr>
              <w:t xml:space="preserve">For operation with shared spectrum channel access, a UE assumes that SS/PBCH blocks in a serving cell that are within a same </w:t>
            </w:r>
            <w:r w:rsidR="00C82440">
              <w:rPr>
                <w:rFonts w:ascii="Times New Roman" w:eastAsia="Times New Roman" w:hAnsi="Times New Roman" w:cs="Times New Roman"/>
                <w:color w:val="ED7D31" w:themeColor="accent2"/>
                <w:sz w:val="20"/>
                <w:szCs w:val="20"/>
                <w:lang w:val="en-GB" w:eastAsia="en-GB"/>
              </w:rPr>
              <w:t>discovery burst</w:t>
            </w:r>
            <w:r w:rsidR="00C82440" w:rsidRPr="00F31ABC">
              <w:rPr>
                <w:rFonts w:ascii="Times New Roman" w:eastAsia="Times New Roman" w:hAnsi="Times New Roman" w:cs="Times New Roman"/>
                <w:color w:val="ED7D31" w:themeColor="accent2"/>
                <w:sz w:val="20"/>
                <w:szCs w:val="20"/>
                <w:lang w:val="en-GB" w:eastAsia="en-GB"/>
              </w:rPr>
              <w:t xml:space="preserve"> </w:t>
            </w:r>
            <w:r w:rsidRPr="00F31ABC">
              <w:rPr>
                <w:rFonts w:ascii="Times New Roman" w:eastAsia="Times New Roman" w:hAnsi="Times New Roman" w:cs="Times New Roman"/>
                <w:color w:val="ED7D31" w:themeColor="accent2"/>
                <w:sz w:val="20"/>
                <w:szCs w:val="20"/>
                <w:lang w:val="en-GB" w:eastAsia="en-GB"/>
              </w:rPr>
              <w:t xml:space="preserve">transmission window or across </w:t>
            </w:r>
            <w:r w:rsidR="00C82440">
              <w:rPr>
                <w:rFonts w:ascii="Times New Roman" w:eastAsia="Times New Roman" w:hAnsi="Times New Roman" w:cs="Times New Roman"/>
                <w:color w:val="ED7D31" w:themeColor="accent2"/>
                <w:sz w:val="20"/>
                <w:szCs w:val="20"/>
                <w:lang w:val="en-GB" w:eastAsia="en-GB"/>
              </w:rPr>
              <w:t>discovery burst</w:t>
            </w:r>
            <w:r w:rsidR="00C82440" w:rsidRPr="00F31ABC">
              <w:rPr>
                <w:rFonts w:ascii="Times New Roman" w:eastAsia="Times New Roman" w:hAnsi="Times New Roman" w:cs="Times New Roman"/>
                <w:color w:val="ED7D31" w:themeColor="accent2"/>
                <w:sz w:val="20"/>
                <w:szCs w:val="20"/>
                <w:lang w:val="en-GB" w:eastAsia="en-GB"/>
              </w:rPr>
              <w:t xml:space="preserve"> </w:t>
            </w:r>
            <w:r w:rsidRPr="00F31ABC">
              <w:rPr>
                <w:rFonts w:ascii="Times New Roman" w:eastAsia="Times New Roman" w:hAnsi="Times New Roman" w:cs="Times New Roman"/>
                <w:color w:val="ED7D31" w:themeColor="accent2"/>
                <w:sz w:val="20"/>
                <w:szCs w:val="20"/>
                <w:lang w:val="en-GB" w:eastAsia="en-GB"/>
              </w:rPr>
              <w:t>transmission windows are quasi co-located with respect to average gain, QCL-</w:t>
            </w:r>
            <w:proofErr w:type="spellStart"/>
            <w:r w:rsidRPr="00F31ABC">
              <w:rPr>
                <w:rFonts w:ascii="Times New Roman" w:eastAsia="Times New Roman" w:hAnsi="Times New Roman" w:cs="Times New Roman"/>
                <w:color w:val="ED7D31" w:themeColor="accent2"/>
                <w:sz w:val="20"/>
                <w:szCs w:val="20"/>
                <w:lang w:val="en-GB" w:eastAsia="en-GB"/>
              </w:rPr>
              <w:t>TypeA</w:t>
            </w:r>
            <w:proofErr w:type="spellEnd"/>
            <w:r w:rsidRPr="00F31ABC">
              <w:rPr>
                <w:rFonts w:ascii="Times New Roman" w:eastAsia="Times New Roman" w:hAnsi="Times New Roman" w:cs="Times New Roman"/>
                <w:color w:val="ED7D31" w:themeColor="accent2"/>
                <w:sz w:val="20"/>
                <w:szCs w:val="20"/>
                <w:lang w:val="en-GB" w:eastAsia="en-GB"/>
              </w:rPr>
              <w:t>, and QCL-</w:t>
            </w:r>
            <w:proofErr w:type="spellStart"/>
            <w:r w:rsidRPr="00F31ABC">
              <w:rPr>
                <w:rFonts w:ascii="Times New Roman" w:eastAsia="Times New Roman" w:hAnsi="Times New Roman" w:cs="Times New Roman"/>
                <w:color w:val="ED7D31" w:themeColor="accent2"/>
                <w:sz w:val="20"/>
                <w:szCs w:val="20"/>
                <w:lang w:val="en-GB" w:eastAsia="en-GB"/>
              </w:rPr>
              <w:t>TypeD</w:t>
            </w:r>
            <w:proofErr w:type="spellEnd"/>
            <w:r w:rsidRPr="00F31ABC">
              <w:rPr>
                <w:rFonts w:ascii="Times New Roman" w:eastAsia="Times New Roman" w:hAnsi="Times New Roman" w:cs="Times New Roman"/>
                <w:color w:val="ED7D31" w:themeColor="accent2"/>
                <w:sz w:val="20"/>
                <w:szCs w:val="20"/>
                <w:lang w:val="en-GB" w:eastAsia="en-GB"/>
              </w:rPr>
              <w:t xml:space="preserve"> properties, when applicable</w:t>
            </w:r>
            <w:r w:rsidRPr="00F31ABC">
              <w:rPr>
                <w:rFonts w:ascii="Times New Roman" w:eastAsia="SimSun" w:hAnsi="Times New Roman" w:cs="Times New Roman"/>
                <w:color w:val="ED7D31" w:themeColor="accent2"/>
                <w:kern w:val="2"/>
                <w:sz w:val="20"/>
                <w:szCs w:val="20"/>
                <w:lang w:val="en-GB" w:eastAsia="zh-CN"/>
              </w:rPr>
              <w:t xml:space="preserve"> [6, TS 38.214], if </w:t>
            </w:r>
            <w:r w:rsidRPr="00F31ABC">
              <w:rPr>
                <w:rFonts w:ascii="Times New Roman" w:eastAsia="SimSun" w:hAnsi="Times New Roman" w:cs="Times New Roman"/>
                <w:strike/>
                <w:color w:val="FF0000"/>
                <w:kern w:val="2"/>
                <w:sz w:val="20"/>
                <w:szCs w:val="20"/>
                <w:lang w:val="en-GB" w:eastAsia="zh-CN"/>
              </w:rPr>
              <w:t xml:space="preserve">a value </w:t>
            </w:r>
            <w:r w:rsidRPr="00F31ABC">
              <w:rPr>
                <w:rFonts w:ascii="Times New Roman" w:eastAsia="SimSun" w:hAnsi="Times New Roman" w:cs="Times New Roman"/>
                <w:strike/>
                <w:color w:val="FF0000"/>
                <w:kern w:val="2"/>
                <w:sz w:val="20"/>
                <w:szCs w:val="20"/>
                <w:highlight w:val="cyan"/>
                <w:lang w:val="en-GB" w:eastAsia="zh-CN"/>
              </w:rPr>
              <w:t>of</w:t>
            </w:r>
            <w:r w:rsidRPr="00D219C2">
              <w:rPr>
                <w:rFonts w:ascii="Times New Roman" w:eastAsia="SimSun" w:hAnsi="Times New Roman" w:cs="Times New Roman"/>
                <w:color w:val="ED7D31" w:themeColor="accent2"/>
                <w:kern w:val="2"/>
                <w:sz w:val="20"/>
                <w:szCs w:val="20"/>
                <w:highlight w:val="cyan"/>
                <w:lang w:val="en-GB" w:eastAsia="zh-CN"/>
              </w:rPr>
              <w:t xml:space="preserve"> </w:t>
            </w:r>
            <w:r w:rsidRPr="00D219C2">
              <w:rPr>
                <w:rFonts w:ascii="Times New Roman" w:eastAsia="SimSun" w:hAnsi="Times New Roman" w:cs="Times New Roman"/>
                <w:color w:val="FF0000"/>
                <w:kern w:val="2"/>
                <w:sz w:val="20"/>
                <w:szCs w:val="20"/>
                <w:highlight w:val="cyan"/>
                <w:lang w:val="en-GB" w:eastAsia="zh-CN"/>
              </w:rPr>
              <w:t>the SS/PBCH block index</w:t>
            </w:r>
            <w:r w:rsidRPr="00F31ABC">
              <w:rPr>
                <w:rFonts w:ascii="Times New Roman" w:eastAsia="SimSun" w:hAnsi="Times New Roman" w:cs="Times New Roman"/>
                <w:color w:val="ED7D31" w:themeColor="accent2"/>
                <w:kern w:val="2"/>
                <w:sz w:val="20"/>
                <w:szCs w:val="20"/>
                <w:highlight w:val="cyan"/>
                <w:lang w:val="en-GB" w:eastAsia="zh-CN"/>
              </w:rPr>
              <w:t xml:space="preserve"> </w:t>
            </w:r>
            <m:oMath>
              <m:r>
                <w:rPr>
                  <w:rFonts w:ascii="Cambria Math" w:eastAsia="Times New Roman" w:hAnsi="Times New Roman" w:cs="Times New Roman"/>
                  <w:color w:val="ED7D31" w:themeColor="accent2"/>
                  <w:sz w:val="20"/>
                  <w:szCs w:val="20"/>
                  <w:highlight w:val="cyan"/>
                  <w:lang w:val="en-GB" w:eastAsia="en-GB"/>
                </w:rPr>
                <m:t>(A</m:t>
              </m:r>
              <m:func>
                <m:funcPr>
                  <m:ctrlPr>
                    <w:rPr>
                      <w:rFonts w:ascii="Cambria Math" w:eastAsia="Times New Roman" w:hAnsi="Cambria Math" w:cs="Times New Roman"/>
                      <w:i/>
                      <w:color w:val="ED7D31" w:themeColor="accent2"/>
                      <w:sz w:val="20"/>
                      <w:szCs w:val="20"/>
                      <w:highlight w:val="cyan"/>
                      <w:lang w:val="en-GB" w:eastAsia="en-GB"/>
                    </w:rPr>
                  </m:ctrlPr>
                </m:funcPr>
                <m:fName>
                  <m:r>
                    <w:rPr>
                      <w:rFonts w:ascii="Cambria Math" w:eastAsia="Times New Roman" w:hAnsi="Times New Roman" w:cs="Times New Roman"/>
                      <w:color w:val="ED7D31" w:themeColor="accent2"/>
                      <w:sz w:val="20"/>
                      <w:szCs w:val="20"/>
                      <w:highlight w:val="cyan"/>
                      <w:lang w:val="en-GB" w:eastAsia="en-GB"/>
                    </w:rPr>
                    <m:t>mod</m:t>
                  </m:r>
                </m:fName>
                <m:e>
                  <m:r>
                    <w:rPr>
                      <w:rFonts w:ascii="Cambria Math" w:eastAsia="Times New Roman" w:hAnsi="Times New Roman" w:cs="Times New Roman"/>
                      <w:color w:val="ED7D31" w:themeColor="accent2"/>
                      <w:sz w:val="20"/>
                      <w:szCs w:val="20"/>
                      <w:highlight w:val="cyan"/>
                      <w:lang w:val="en-GB" w:eastAsia="en-GB"/>
                    </w:rPr>
                    <m:t>Q</m:t>
                  </m:r>
                </m:e>
              </m:func>
              <m:r>
                <w:rPr>
                  <w:rFonts w:ascii="Cambria Math" w:eastAsia="Times New Roman" w:hAnsi="Times New Roman" w:cs="Times New Roman"/>
                  <w:color w:val="ED7D31" w:themeColor="accent2"/>
                  <w:sz w:val="20"/>
                  <w:szCs w:val="20"/>
                  <w:highlight w:val="cyan"/>
                  <w:lang w:val="en-GB" w:eastAsia="en-GB"/>
                </w:rPr>
                <m:t>)</m:t>
              </m:r>
            </m:oMath>
            <w:r w:rsidRPr="00F31ABC">
              <w:rPr>
                <w:rFonts w:ascii="Times New Roman" w:eastAsia="Times New Roman" w:hAnsi="Times New Roman" w:cs="Times New Roman"/>
                <w:color w:val="ED7D31" w:themeColor="accent2"/>
                <w:sz w:val="20"/>
                <w:szCs w:val="20"/>
                <w:lang w:val="en-GB" w:eastAsia="en-GB"/>
              </w:rPr>
              <w:t xml:space="preserve"> is same among the SS/PBCH blocks. </w:t>
            </w:r>
            <m:oMath>
              <m:r>
                <w:rPr>
                  <w:rFonts w:ascii="Cambria Math" w:eastAsia="Times New Roman" w:hAnsi="Times New Roman" w:cs="Times New Roman"/>
                  <w:color w:val="ED7D31" w:themeColor="accent2"/>
                  <w:sz w:val="20"/>
                  <w:szCs w:val="20"/>
                  <w:lang w:val="en-GB" w:eastAsia="en-GB"/>
                </w:rPr>
                <m:t>A</m:t>
              </m:r>
            </m:oMath>
            <w:r w:rsidRPr="00F31ABC">
              <w:rPr>
                <w:rFonts w:ascii="Times New Roman" w:eastAsia="Times New Roman" w:hAnsi="Times New Roman" w:cs="Times New Roman"/>
                <w:color w:val="ED7D31" w:themeColor="accent2"/>
                <w:sz w:val="20"/>
                <w:szCs w:val="20"/>
                <w:lang w:val="en-GB" w:eastAsia="en-GB"/>
              </w:rPr>
              <w:t xml:space="preserve"> is an </w:t>
            </w:r>
            <w:r w:rsidRPr="00F31ABC">
              <w:rPr>
                <w:rFonts w:ascii="Times New Roman" w:eastAsia="Times New Roman" w:hAnsi="Times New Roman" w:cs="Times New Roman"/>
                <w:color w:val="ED7D31" w:themeColor="accent2"/>
                <w:sz w:val="20"/>
                <w:szCs w:val="20"/>
                <w:lang w:val="en-GB" w:eastAsia="ja-JP"/>
              </w:rPr>
              <w:t xml:space="preserve">index of a DM-RS sequence transmitted in a PBCH of a corresponding SS/PBCH block, and </w:t>
            </w:r>
            <m:oMath>
              <m:r>
                <w:rPr>
                  <w:rFonts w:ascii="Cambria Math" w:eastAsia="Times New Roman" w:hAnsi="Times New Roman" w:cs="Times New Roman"/>
                  <w:color w:val="ED7D31" w:themeColor="accent2"/>
                  <w:sz w:val="20"/>
                  <w:szCs w:val="20"/>
                  <w:lang w:val="en-GB" w:eastAsia="en-GB"/>
                </w:rPr>
                <m:t>Q</m:t>
              </m:r>
            </m:oMath>
            <w:r w:rsidRPr="00F31ABC">
              <w:rPr>
                <w:rFonts w:ascii="Times New Roman" w:eastAsia="Times New Roman" w:hAnsi="Times New Roman" w:cs="Times New Roman"/>
                <w:color w:val="ED7D31" w:themeColor="accent2"/>
                <w:sz w:val="20"/>
                <w:szCs w:val="20"/>
                <w:lang w:val="en-GB" w:eastAsia="en-GB"/>
              </w:rPr>
              <w:t xml:space="preserve"> is obtained from … </w:t>
            </w:r>
          </w:p>
        </w:tc>
      </w:tr>
    </w:tbl>
    <w:p w14:paraId="1D8C2828" w14:textId="77777777" w:rsidR="00E21211" w:rsidRDefault="00F31ABC" w:rsidP="00E21211">
      <w:pPr>
        <w:pStyle w:val="BodyText"/>
        <w:rPr>
          <w:rFonts w:ascii="Times New Roman" w:eastAsia="Times New Roman" w:hAnsi="Times New Roman" w:cs="Times New Roman"/>
          <w:color w:val="ED7D31" w:themeColor="accent2"/>
          <w:sz w:val="20"/>
          <w:szCs w:val="20"/>
          <w:lang w:val="en-GB" w:eastAsia="en-GB"/>
        </w:rPr>
      </w:pPr>
      <w:r w:rsidRPr="00F31ABC">
        <w:rPr>
          <w:rFonts w:ascii="Times New Roman" w:eastAsia="Times New Roman" w:hAnsi="Times New Roman" w:cs="Times New Roman"/>
          <w:color w:val="ED7D31" w:themeColor="accent2"/>
          <w:sz w:val="20"/>
          <w:szCs w:val="20"/>
          <w:lang w:val="en-GB" w:eastAsia="en-GB"/>
        </w:rPr>
        <w:t xml:space="preserve"> </w:t>
      </w:r>
    </w:p>
    <w:p w14:paraId="3E0C5BC9" w14:textId="02533184" w:rsidR="00CA2622" w:rsidRDefault="00CA2622" w:rsidP="000A577C">
      <w:pPr>
        <w:pStyle w:val="BodyText"/>
        <w:rPr>
          <w:rFonts w:eastAsiaTheme="minorEastAsia"/>
          <w:iCs/>
          <w:sz w:val="20"/>
          <w:szCs w:val="20"/>
          <w:lang w:val="en-GB" w:eastAsia="en-GB"/>
        </w:rPr>
      </w:pPr>
      <w:r>
        <w:rPr>
          <w:lang w:val="en-GB"/>
        </w:rPr>
        <w:t xml:space="preserve">In Rel-15 </w:t>
      </w:r>
      <m:oMath>
        <m:sSub>
          <m:sSubPr>
            <m:ctrlPr>
              <w:rPr>
                <w:rFonts w:ascii="Cambria Math" w:hAnsi="Cambria Math"/>
                <w:lang w:val="en-GB"/>
              </w:rPr>
            </m:ctrlPr>
          </m:sSubPr>
          <m:e>
            <m:r>
              <w:rPr>
                <w:rFonts w:ascii="Cambria Math"/>
                <w:lang w:val="en-GB"/>
              </w:rPr>
              <m:t>L</m:t>
            </m:r>
          </m:e>
          <m:sub>
            <m:r>
              <w:rPr>
                <w:rFonts w:ascii="Cambria Math"/>
                <w:lang w:val="en-GB"/>
              </w:rPr>
              <m:t>max</m:t>
            </m:r>
          </m:sub>
        </m:sSub>
      </m:oMath>
      <w:r w:rsidR="000A577C" w:rsidRPr="00ED20EF">
        <w:rPr>
          <w:lang w:val="en-GB"/>
        </w:rPr>
        <w:t xml:space="preserve"> </w:t>
      </w:r>
      <w:r w:rsidR="000A577C">
        <w:rPr>
          <w:lang w:val="en-GB"/>
        </w:rPr>
        <w:t>is the maximum number of SS/PBCH blocks per half frame. This variable is also used e.g. when determining the number of RLM-RS</w:t>
      </w:r>
      <w:r w:rsidR="00DC6BBD">
        <w:rPr>
          <w:lang w:val="en-GB"/>
        </w:rPr>
        <w:t xml:space="preserve"> (see Section 5 in 38.213)</w:t>
      </w:r>
      <w:r w:rsidR="000A577C">
        <w:rPr>
          <w:lang w:val="en-GB"/>
        </w:rPr>
        <w:t xml:space="preserve">. Thus, it needs to be defined also for operation with shared </w:t>
      </w:r>
      <w:r w:rsidR="00DC6BBD">
        <w:rPr>
          <w:lang w:val="en-GB"/>
        </w:rPr>
        <w:t xml:space="preserve">spectrum </w:t>
      </w:r>
      <w:r w:rsidR="000A577C">
        <w:rPr>
          <w:lang w:val="en-GB"/>
        </w:rPr>
        <w:t xml:space="preserve">channel access. For the frequency bands targeted (5 GHz and 6 GHz) the corresponding Rel-15 value is </w:t>
      </w:r>
      <m:oMath>
        <m:sSub>
          <m:sSubPr>
            <m:ctrlPr>
              <w:rPr>
                <w:rFonts w:ascii="Cambria Math" w:hAnsi="Cambria Math"/>
                <w:lang w:val="en-GB"/>
              </w:rPr>
            </m:ctrlPr>
          </m:sSubPr>
          <m:e>
            <m:r>
              <w:rPr>
                <w:rFonts w:ascii="Cambria Math"/>
                <w:lang w:val="en-GB"/>
              </w:rPr>
              <m:t>L</m:t>
            </m:r>
          </m:e>
          <m:sub>
            <m:r>
              <w:rPr>
                <w:rFonts w:ascii="Cambria Math"/>
                <w:lang w:val="en-GB"/>
              </w:rPr>
              <m:t>max</m:t>
            </m:r>
          </m:sub>
        </m:sSub>
        <m:r>
          <m:rPr>
            <m:sty m:val="p"/>
          </m:rPr>
          <w:rPr>
            <w:rFonts w:ascii="Cambria Math"/>
            <w:lang w:val="en-GB"/>
          </w:rPr>
          <m:t>=8</m:t>
        </m:r>
      </m:oMath>
      <w:r w:rsidR="000A577C" w:rsidRPr="00ED20EF">
        <w:rPr>
          <w:lang w:val="en-GB"/>
        </w:rPr>
        <w:t>, thus we propose that is defined in the same way for operation with shared channel access</w:t>
      </w:r>
      <w:r w:rsidR="000A577C">
        <w:rPr>
          <w:lang w:val="en-GB"/>
        </w:rPr>
        <w:t>.</w:t>
      </w:r>
    </w:p>
    <w:p w14:paraId="00724A89" w14:textId="746A9C17" w:rsidR="000A577C" w:rsidRDefault="000A577C" w:rsidP="00ED20EF">
      <w:pPr>
        <w:pStyle w:val="Proposal"/>
        <w:rPr>
          <w:lang w:val="en-GB"/>
        </w:rPr>
      </w:pPr>
      <w:bookmarkStart w:id="20" w:name="_Ref24110819"/>
      <w:bookmarkStart w:id="21" w:name="_Toc24104653"/>
      <w:r>
        <w:rPr>
          <w:lang w:val="en-GB"/>
        </w:rPr>
        <w:t xml:space="preserve">For operation with shared </w:t>
      </w:r>
      <w:r w:rsidR="00DC6BBD">
        <w:rPr>
          <w:lang w:val="en-GB"/>
        </w:rPr>
        <w:t xml:space="preserve">spectrum </w:t>
      </w:r>
      <w:r>
        <w:rPr>
          <w:lang w:val="en-GB"/>
        </w:rPr>
        <w:t xml:space="preserve">channel access, </w:t>
      </w:r>
      <m:oMath>
        <m:sSub>
          <m:sSubPr>
            <m:ctrlPr>
              <w:rPr>
                <w:rFonts w:ascii="Cambria Math" w:hAnsi="Cambria Math"/>
                <w:lang w:val="en-GB"/>
              </w:rPr>
            </m:ctrlPr>
          </m:sSubPr>
          <m:e>
            <m:r>
              <m:rPr>
                <m:sty m:val="bi"/>
              </m:rPr>
              <w:rPr>
                <w:rFonts w:ascii="Cambria Math"/>
                <w:lang w:val="en-GB"/>
              </w:rPr>
              <m:t>L</m:t>
            </m:r>
          </m:e>
          <m:sub>
            <m:r>
              <m:rPr>
                <m:sty m:val="bi"/>
              </m:rPr>
              <w:rPr>
                <w:rFonts w:ascii="Cambria Math"/>
                <w:lang w:val="en-GB"/>
              </w:rPr>
              <m:t>max</m:t>
            </m:r>
          </m:sub>
        </m:sSub>
      </m:oMath>
      <w:r>
        <w:rPr>
          <w:rFonts w:eastAsiaTheme="minorEastAsia"/>
          <w:lang w:val="en-GB"/>
        </w:rPr>
        <w:t xml:space="preserve"> is equal to 8 when operating in 5 GHz and 6 GHz bands.</w:t>
      </w:r>
      <w:bookmarkEnd w:id="20"/>
      <w:bookmarkEnd w:id="21"/>
    </w:p>
    <w:p w14:paraId="2A44EB6F" w14:textId="2E819E69" w:rsidR="00E21211" w:rsidRPr="00ED20EF" w:rsidRDefault="002024BA" w:rsidP="00E21211">
      <w:pPr>
        <w:pStyle w:val="BodyText"/>
        <w:rPr>
          <w:rFonts w:ascii="Times New Roman" w:eastAsia="Times New Roman" w:hAnsi="Times New Roman" w:cs="Times New Roman"/>
          <w:color w:val="ED7D31" w:themeColor="accent2"/>
          <w:sz w:val="20"/>
          <w:szCs w:val="20"/>
          <w:lang w:val="en-GB" w:eastAsia="en-GB"/>
        </w:rPr>
      </w:pPr>
      <w:r>
        <w:rPr>
          <w:lang w:val="en-GB"/>
        </w:rPr>
        <w:t>The definition</w:t>
      </w:r>
      <w:r w:rsidR="000A577C">
        <w:rPr>
          <w:lang w:val="en-GB"/>
        </w:rPr>
        <w:t>s</w:t>
      </w:r>
      <w:r>
        <w:rPr>
          <w:lang w:val="en-GB"/>
        </w:rPr>
        <w:t xml:space="preserve"> in </w:t>
      </w:r>
      <w:r>
        <w:rPr>
          <w:lang w:val="en-GB"/>
        </w:rPr>
        <w:fldChar w:fldCharType="begin"/>
      </w:r>
      <w:r>
        <w:rPr>
          <w:lang w:val="en-GB"/>
        </w:rPr>
        <w:instrText xml:space="preserve"> REF _Ref23955548 \r \h </w:instrText>
      </w:r>
      <w:r>
        <w:rPr>
          <w:lang w:val="en-GB"/>
        </w:rPr>
      </w:r>
      <w:r>
        <w:rPr>
          <w:lang w:val="en-GB"/>
        </w:rPr>
        <w:fldChar w:fldCharType="separate"/>
      </w:r>
      <w:r w:rsidR="009200D5">
        <w:rPr>
          <w:lang w:val="en-GB"/>
        </w:rPr>
        <w:t>Proposal 8</w:t>
      </w:r>
      <w:r>
        <w:rPr>
          <w:lang w:val="en-GB"/>
        </w:rPr>
        <w:fldChar w:fldCharType="end"/>
      </w:r>
      <w:r w:rsidR="00E21211">
        <w:rPr>
          <w:lang w:val="en-GB"/>
        </w:rPr>
        <w:t xml:space="preserve"> </w:t>
      </w:r>
      <w:r w:rsidR="000A577C">
        <w:rPr>
          <w:lang w:val="en-GB"/>
        </w:rPr>
        <w:t xml:space="preserve">and </w:t>
      </w:r>
      <w:r w:rsidR="000A577C">
        <w:rPr>
          <w:lang w:val="en-GB"/>
        </w:rPr>
        <w:fldChar w:fldCharType="begin"/>
      </w:r>
      <w:r w:rsidR="000A577C">
        <w:rPr>
          <w:lang w:val="en-GB"/>
        </w:rPr>
        <w:instrText xml:space="preserve"> REF _Ref24110819 \r \h </w:instrText>
      </w:r>
      <w:r w:rsidR="000A577C">
        <w:rPr>
          <w:lang w:val="en-GB"/>
        </w:rPr>
      </w:r>
      <w:r w:rsidR="000A577C">
        <w:rPr>
          <w:lang w:val="en-GB"/>
        </w:rPr>
        <w:fldChar w:fldCharType="separate"/>
      </w:r>
      <w:r w:rsidR="009200D5">
        <w:rPr>
          <w:lang w:val="en-GB"/>
        </w:rPr>
        <w:t>Proposal 9</w:t>
      </w:r>
      <w:r w:rsidR="000A577C">
        <w:rPr>
          <w:lang w:val="en-GB"/>
        </w:rPr>
        <w:fldChar w:fldCharType="end"/>
      </w:r>
      <w:r w:rsidR="000A577C">
        <w:rPr>
          <w:lang w:val="en-GB"/>
        </w:rPr>
        <w:t xml:space="preserve"> </w:t>
      </w:r>
      <w:r w:rsidR="00E21211">
        <w:rPr>
          <w:lang w:val="en-GB"/>
        </w:rPr>
        <w:t>allows the description of many UE procedures to remain unchanged from Rel-15. For example, the following procedure descriptions can remain unchanged:</w:t>
      </w:r>
    </w:p>
    <w:p w14:paraId="3108C80F" w14:textId="77777777" w:rsidR="00E21211" w:rsidRDefault="00E21211" w:rsidP="00E21211">
      <w:pPr>
        <w:pStyle w:val="BodyText"/>
        <w:numPr>
          <w:ilvl w:val="0"/>
          <w:numId w:val="50"/>
        </w:numPr>
        <w:rPr>
          <w:lang w:val="en-GB"/>
        </w:rPr>
      </w:pPr>
      <w:r>
        <w:rPr>
          <w:lang w:val="en-GB"/>
        </w:rPr>
        <w:t>SS-RSRP and SS-RSRPB definitions in 38.215</w:t>
      </w:r>
    </w:p>
    <w:p w14:paraId="38EFACE9" w14:textId="77777777" w:rsidR="00E21211" w:rsidRDefault="00E21211" w:rsidP="00E21211">
      <w:pPr>
        <w:pStyle w:val="BodyText"/>
        <w:numPr>
          <w:ilvl w:val="0"/>
          <w:numId w:val="50"/>
        </w:numPr>
        <w:rPr>
          <w:lang w:val="en-GB"/>
        </w:rPr>
      </w:pPr>
      <w:r>
        <w:rPr>
          <w:lang w:val="en-GB"/>
        </w:rPr>
        <w:t>Radio link monitoring procedures in 38.213 §5</w:t>
      </w:r>
    </w:p>
    <w:p w14:paraId="5DC928BB" w14:textId="77777777" w:rsidR="00E21211" w:rsidRDefault="00E21211" w:rsidP="00E21211">
      <w:pPr>
        <w:pStyle w:val="BodyText"/>
        <w:numPr>
          <w:ilvl w:val="0"/>
          <w:numId w:val="50"/>
        </w:numPr>
        <w:rPr>
          <w:lang w:val="en-GB"/>
        </w:rPr>
      </w:pPr>
      <w:r>
        <w:rPr>
          <w:lang w:val="en-GB"/>
        </w:rPr>
        <w:t>Link recovery procedures in 38.213 §6</w:t>
      </w:r>
    </w:p>
    <w:p w14:paraId="092C6FB8" w14:textId="77777777" w:rsidR="00E21211" w:rsidRDefault="00E21211" w:rsidP="00E21211">
      <w:pPr>
        <w:pStyle w:val="BodyText"/>
        <w:numPr>
          <w:ilvl w:val="0"/>
          <w:numId w:val="50"/>
        </w:numPr>
        <w:rPr>
          <w:lang w:val="en-GB"/>
        </w:rPr>
      </w:pPr>
      <w:r>
        <w:rPr>
          <w:lang w:val="en-GB"/>
        </w:rPr>
        <w:t>Uplink power control in 38.213 §7</w:t>
      </w:r>
    </w:p>
    <w:p w14:paraId="08C69AE6" w14:textId="77777777" w:rsidR="00E21211" w:rsidRPr="008068FE" w:rsidRDefault="00E21211" w:rsidP="00E21211">
      <w:pPr>
        <w:pStyle w:val="BodyText"/>
        <w:numPr>
          <w:ilvl w:val="0"/>
          <w:numId w:val="50"/>
        </w:numPr>
        <w:rPr>
          <w:lang w:val="en-GB"/>
        </w:rPr>
      </w:pPr>
      <w:r w:rsidRPr="00B916EC">
        <w:t>PUCCH Formats for UCI transmission</w:t>
      </w:r>
      <w:r>
        <w:t xml:space="preserve"> in 38.213 §9.2.2</w:t>
      </w:r>
    </w:p>
    <w:p w14:paraId="6D3F3FD9" w14:textId="3DA6EE6C" w:rsidR="008F0281" w:rsidRPr="00ED20EF" w:rsidRDefault="00E21211" w:rsidP="00ED20EF">
      <w:pPr>
        <w:pStyle w:val="BodyText"/>
        <w:rPr>
          <w:lang w:val="en-GB"/>
        </w:rPr>
      </w:pPr>
      <w:r>
        <w:t>Common for all the above procedures is that the “beam index” interpretation of the SS/PBCH block index is used</w:t>
      </w:r>
      <w:r w:rsidR="003703E8">
        <w:t xml:space="preserve">, which </w:t>
      </w:r>
      <w:r w:rsidR="00347069">
        <w:t xml:space="preserve">further </w:t>
      </w:r>
      <w:r w:rsidR="003703E8">
        <w:t>motivates that SS/PBCH block index should be is defined as mod</w:t>
      </w:r>
      <w:r w:rsidR="00D862AB">
        <w:t>ulo</w:t>
      </w:r>
      <w:r w:rsidR="003703E8">
        <w:t>(A,Q)</w:t>
      </w:r>
      <w:r w:rsidR="00347069">
        <w:t xml:space="preserve"> as in </w:t>
      </w:r>
      <w:r w:rsidR="00347069">
        <w:fldChar w:fldCharType="begin"/>
      </w:r>
      <w:r w:rsidR="00347069">
        <w:instrText xml:space="preserve"> REF _Ref23955548 \r \h </w:instrText>
      </w:r>
      <w:r w:rsidR="00347069">
        <w:fldChar w:fldCharType="separate"/>
      </w:r>
      <w:r w:rsidR="00347069">
        <w:t>Proposal 8</w:t>
      </w:r>
      <w:r w:rsidR="00347069">
        <w:fldChar w:fldCharType="end"/>
      </w:r>
      <w:r w:rsidR="00347069">
        <w:t>.</w:t>
      </w:r>
    </w:p>
    <w:p w14:paraId="47A5B025" w14:textId="2B0C52D3" w:rsidR="00F31ABC" w:rsidRPr="00F31ABC" w:rsidRDefault="00F31ABC" w:rsidP="00D225F1">
      <w:pPr>
        <w:pStyle w:val="BodyText"/>
      </w:pPr>
      <w:r>
        <w:t xml:space="preserve">As discussed in conjunction with </w:t>
      </w:r>
      <w:r>
        <w:fldChar w:fldCharType="begin"/>
      </w:r>
      <w:r>
        <w:instrText xml:space="preserve"> REF _Ref23922301 \r \h </w:instrText>
      </w:r>
      <w:r>
        <w:fldChar w:fldCharType="separate"/>
      </w:r>
      <w:r w:rsidR="009200D5">
        <w:t>Proposal 5</w:t>
      </w:r>
      <w:r>
        <w:fldChar w:fldCharType="end"/>
      </w:r>
      <w:r>
        <w:t>, there are cases when there is no need to allow the SS/PBCH blocks to shift and thus no Q is configured to the UE. For those cases, we propose to define the SS/PBCH block index as in Rel-15.</w:t>
      </w:r>
    </w:p>
    <w:p w14:paraId="1A0584F1" w14:textId="3871AABD" w:rsidR="00791980" w:rsidRDefault="00791980" w:rsidP="00791980">
      <w:pPr>
        <w:pStyle w:val="Proposal"/>
      </w:pPr>
      <w:bookmarkStart w:id="22" w:name="_Toc24104654"/>
      <w:r>
        <w:t xml:space="preserve">If Q is </w:t>
      </w:r>
      <w:r w:rsidR="00235BAB">
        <w:t xml:space="preserve">not </w:t>
      </w:r>
      <w:r>
        <w:t>indicated to the UE</w:t>
      </w:r>
      <w:r w:rsidR="00235BAB">
        <w:t xml:space="preserve">, </w:t>
      </w:r>
      <w:r>
        <w:t>the SS/PBCH block index is defined as in Rel-15</w:t>
      </w:r>
      <w:bookmarkEnd w:id="17"/>
      <w:r w:rsidR="00235BAB">
        <w:t>, i.e. equal to the c</w:t>
      </w:r>
      <w:r w:rsidR="00235BAB" w:rsidRPr="008F0281">
        <w:t xml:space="preserve">andidate SS/PBCH </w:t>
      </w:r>
      <w:r w:rsidR="00235BAB">
        <w:t>b</w:t>
      </w:r>
      <w:r w:rsidR="00235BAB" w:rsidRPr="008F0281">
        <w:t>lock index</w:t>
      </w:r>
      <w:r w:rsidR="003703E8">
        <w:t xml:space="preserve"> (which is limited to the range 0</w:t>
      </w:r>
      <w:proofErr w:type="gramStart"/>
      <w:r w:rsidR="003703E8">
        <w:t xml:space="preserve"> ..</w:t>
      </w:r>
      <w:proofErr w:type="gramEnd"/>
      <w:r w:rsidR="003703E8">
        <w:t xml:space="preserve"> 7)</w:t>
      </w:r>
      <w:r w:rsidR="00235BAB">
        <w:t>.</w:t>
      </w:r>
      <w:bookmarkEnd w:id="22"/>
    </w:p>
    <w:p w14:paraId="217F3621" w14:textId="32129FA4" w:rsidR="00C35B56" w:rsidRDefault="001A1E11" w:rsidP="00ED20EF">
      <w:pPr>
        <w:pStyle w:val="Heading1"/>
      </w:pPr>
      <w:r>
        <w:t>4</w:t>
      </w:r>
      <w:r w:rsidR="008C3F8C">
        <w:t xml:space="preserve"> </w:t>
      </w:r>
      <w:r>
        <w:tab/>
      </w:r>
      <w:r w:rsidR="008C3F8C">
        <w:t>ssb-PositionsInBurst</w:t>
      </w:r>
    </w:p>
    <w:p w14:paraId="1FF986B1" w14:textId="5B61D941" w:rsidR="008C3F8C" w:rsidRDefault="008C3F8C" w:rsidP="00321409">
      <w:pPr>
        <w:pStyle w:val="BodyText"/>
      </w:pPr>
      <w:r>
        <w:t xml:space="preserve">Rel-15 specifications makes heavy use of the parameter </w:t>
      </w:r>
      <w:r w:rsidRPr="00ED20EF">
        <w:rPr>
          <w:i/>
        </w:rPr>
        <w:t>ssb-PositionsInBurst</w:t>
      </w:r>
      <w:r>
        <w:t>. In RAN1#98b the following agreement was made with regards to this important parameter</w:t>
      </w:r>
      <w:r w:rsidR="00EF7763">
        <w:t>:</w:t>
      </w:r>
    </w:p>
    <w:p w14:paraId="6720E3B7" w14:textId="77777777" w:rsidR="008C3F8C" w:rsidRPr="008C3F8C" w:rsidRDefault="008C3F8C" w:rsidP="008C3F8C">
      <w:pPr>
        <w:spacing w:after="0" w:line="240" w:lineRule="auto"/>
        <w:rPr>
          <w:rFonts w:ascii="Times" w:eastAsia="Batang" w:hAnsi="Times" w:cs="Times New Roman"/>
          <w:sz w:val="20"/>
          <w:szCs w:val="24"/>
          <w:lang w:val="en-GB" w:eastAsia="x-none"/>
        </w:rPr>
      </w:pPr>
      <w:r w:rsidRPr="008C3F8C">
        <w:rPr>
          <w:rFonts w:ascii="Times" w:eastAsia="Batang" w:hAnsi="Times" w:cs="Times New Roman"/>
          <w:sz w:val="20"/>
          <w:szCs w:val="24"/>
          <w:highlight w:val="green"/>
          <w:lang w:val="en-GB" w:eastAsia="x-none"/>
        </w:rPr>
        <w:t>Agreement:</w:t>
      </w:r>
    </w:p>
    <w:p w14:paraId="73CCBE5E" w14:textId="77777777" w:rsidR="008C3F8C" w:rsidRPr="008C3F8C" w:rsidRDefault="008C3F8C" w:rsidP="008C3F8C">
      <w:pPr>
        <w:spacing w:after="0" w:line="240" w:lineRule="auto"/>
        <w:rPr>
          <w:rFonts w:ascii="Times" w:eastAsia="Batang" w:hAnsi="Times" w:cs="Times New Roman"/>
          <w:sz w:val="20"/>
          <w:szCs w:val="24"/>
          <w:lang w:val="en-GB"/>
        </w:rPr>
      </w:pPr>
      <w:r w:rsidRPr="008C3F8C">
        <w:rPr>
          <w:rFonts w:ascii="Times" w:eastAsia="Batang" w:hAnsi="Times" w:cs="Times New Roman"/>
          <w:sz w:val="20"/>
          <w:szCs w:val="24"/>
          <w:lang w:val="en-GB"/>
        </w:rPr>
        <w:t>The ssb-PositionsInBurst IE is configured as in Rel-15 NR</w:t>
      </w:r>
    </w:p>
    <w:p w14:paraId="10B002A7" w14:textId="77777777" w:rsidR="008C3F8C" w:rsidRPr="008C3F8C" w:rsidRDefault="008C3F8C" w:rsidP="008C3F8C">
      <w:pPr>
        <w:numPr>
          <w:ilvl w:val="0"/>
          <w:numId w:val="47"/>
        </w:numPr>
        <w:spacing w:after="0" w:line="240" w:lineRule="auto"/>
        <w:rPr>
          <w:rFonts w:ascii="Times" w:eastAsia="Batang" w:hAnsi="Times" w:cs="Times New Roman"/>
          <w:sz w:val="20"/>
          <w:szCs w:val="24"/>
          <w:lang w:val="en-GB" w:eastAsia="x-none"/>
        </w:rPr>
      </w:pPr>
      <w:r w:rsidRPr="008C3F8C">
        <w:rPr>
          <w:rFonts w:ascii="Times" w:eastAsia="Batang" w:hAnsi="Times" w:cs="Times New Roman"/>
          <w:sz w:val="20"/>
          <w:szCs w:val="24"/>
          <w:lang w:val="en-GB"/>
        </w:rPr>
        <w:t>FFS: Interpretation of the field for NR-U</w:t>
      </w:r>
    </w:p>
    <w:p w14:paraId="3434D1DB" w14:textId="77777777" w:rsidR="008C3F8C" w:rsidRDefault="008C3F8C" w:rsidP="00321409">
      <w:pPr>
        <w:pStyle w:val="BodyText"/>
        <w:rPr>
          <w:lang w:val="en-GB"/>
        </w:rPr>
      </w:pPr>
    </w:p>
    <w:p w14:paraId="0A052376" w14:textId="2ADE3B48" w:rsidR="008C3F8C" w:rsidRDefault="008C3F8C" w:rsidP="00321409">
      <w:pPr>
        <w:pStyle w:val="BodyText"/>
        <w:rPr>
          <w:lang w:val="en-GB"/>
        </w:rPr>
      </w:pPr>
      <w:r>
        <w:rPr>
          <w:lang w:val="en-GB"/>
        </w:rPr>
        <w:t xml:space="preserve">Let’s first recap for which </w:t>
      </w:r>
      <w:r w:rsidR="00BC3130">
        <w:rPr>
          <w:lang w:val="en-GB"/>
        </w:rPr>
        <w:t>purposes</w:t>
      </w:r>
      <w:r>
        <w:rPr>
          <w:lang w:val="en-GB"/>
        </w:rPr>
        <w:t xml:space="preserve"> ssb-PositionsInBurst is used in Rel-15. The uses can roughly be split in two categories</w:t>
      </w:r>
      <w:r w:rsidR="00233735">
        <w:rPr>
          <w:lang w:val="en-GB"/>
        </w:rPr>
        <w:t>:</w:t>
      </w:r>
    </w:p>
    <w:p w14:paraId="6E9D7285" w14:textId="6CA29822" w:rsidR="008C3F8C" w:rsidRDefault="008C3F8C" w:rsidP="008C3F8C">
      <w:pPr>
        <w:pStyle w:val="BodyText"/>
        <w:numPr>
          <w:ilvl w:val="0"/>
          <w:numId w:val="48"/>
        </w:numPr>
        <w:rPr>
          <w:lang w:val="en-GB"/>
        </w:rPr>
      </w:pPr>
      <w:r>
        <w:rPr>
          <w:lang w:val="en-GB"/>
        </w:rPr>
        <w:lastRenderedPageBreak/>
        <w:t>Mapping of SSBs to reception/transmission opportunities of other signals and channels</w:t>
      </w:r>
    </w:p>
    <w:p w14:paraId="34B3432E" w14:textId="5591AB7E" w:rsidR="008C3F8C" w:rsidRDefault="008C3F8C" w:rsidP="008C3F8C">
      <w:pPr>
        <w:pStyle w:val="BodyText"/>
        <w:numPr>
          <w:ilvl w:val="1"/>
          <w:numId w:val="48"/>
        </w:numPr>
        <w:rPr>
          <w:lang w:val="en-GB"/>
        </w:rPr>
      </w:pPr>
      <w:r>
        <w:rPr>
          <w:lang w:val="en-GB"/>
        </w:rPr>
        <w:t>SSB-to-</w:t>
      </w:r>
      <w:r w:rsidR="00325748">
        <w:rPr>
          <w:lang w:val="en-GB"/>
        </w:rPr>
        <w:t>RO (RACH occasions) (38.213 §8.1)</w:t>
      </w:r>
    </w:p>
    <w:p w14:paraId="098F7E61" w14:textId="6009D0C1" w:rsidR="008C3F8C" w:rsidRDefault="008C3F8C" w:rsidP="008C3F8C">
      <w:pPr>
        <w:pStyle w:val="BodyText"/>
        <w:numPr>
          <w:ilvl w:val="1"/>
          <w:numId w:val="48"/>
        </w:numPr>
        <w:rPr>
          <w:lang w:val="en-GB"/>
        </w:rPr>
      </w:pPr>
      <w:r>
        <w:rPr>
          <w:lang w:val="en-GB"/>
        </w:rPr>
        <w:t xml:space="preserve">SSB-to-PDCCH monitoring occasions for </w:t>
      </w:r>
      <w:r w:rsidR="00325748">
        <w:rPr>
          <w:lang w:val="en-GB"/>
        </w:rPr>
        <w:t>other system information (38.331 §</w:t>
      </w:r>
      <w:r w:rsidR="00325748">
        <w:rPr>
          <w:rFonts w:eastAsia="SimSun"/>
          <w:color w:val="000000"/>
          <w:kern w:val="2"/>
        </w:rPr>
        <w:t>5.2.2.3.2)</w:t>
      </w:r>
    </w:p>
    <w:p w14:paraId="1E955488" w14:textId="58232134" w:rsidR="008C3F8C" w:rsidRPr="00325748" w:rsidRDefault="008C3F8C" w:rsidP="00ED20EF">
      <w:pPr>
        <w:pStyle w:val="BodyText"/>
        <w:numPr>
          <w:ilvl w:val="1"/>
          <w:numId w:val="48"/>
        </w:numPr>
        <w:rPr>
          <w:lang w:val="en-GB"/>
        </w:rPr>
      </w:pPr>
      <w:r>
        <w:rPr>
          <w:lang w:val="en-GB"/>
        </w:rPr>
        <w:t>SSB-to-PDCCH monitoring occasions for paging</w:t>
      </w:r>
      <w:r w:rsidR="00325748">
        <w:rPr>
          <w:lang w:val="en-GB"/>
        </w:rPr>
        <w:t xml:space="preserve"> (38.304 §7.1)</w:t>
      </w:r>
    </w:p>
    <w:p w14:paraId="1C96F79C" w14:textId="56BD9FB5" w:rsidR="008C3F8C" w:rsidRDefault="008C3F8C" w:rsidP="008C3F8C">
      <w:pPr>
        <w:pStyle w:val="BodyText"/>
        <w:numPr>
          <w:ilvl w:val="0"/>
          <w:numId w:val="48"/>
        </w:numPr>
        <w:rPr>
          <w:lang w:val="en-GB"/>
        </w:rPr>
      </w:pPr>
      <w:r>
        <w:rPr>
          <w:lang w:val="en-GB"/>
        </w:rPr>
        <w:t>Transmission/reception restrictions</w:t>
      </w:r>
    </w:p>
    <w:p w14:paraId="28FB87A2" w14:textId="77777777" w:rsidR="00CE6BA1" w:rsidRPr="00785D8B" w:rsidRDefault="00CE6BA1" w:rsidP="00CE6BA1">
      <w:pPr>
        <w:pStyle w:val="BodyText"/>
        <w:numPr>
          <w:ilvl w:val="1"/>
          <w:numId w:val="48"/>
        </w:numPr>
        <w:rPr>
          <w:lang w:val="en-GB"/>
        </w:rPr>
      </w:pPr>
      <w:r w:rsidRPr="00B916EC">
        <w:t>UE procedure for receiving control information</w:t>
      </w:r>
      <w:r>
        <w:t xml:space="preserve"> (38.213 §10)</w:t>
      </w:r>
    </w:p>
    <w:p w14:paraId="220CC36E" w14:textId="77777777" w:rsidR="00CE6BA1" w:rsidRPr="00785D8B" w:rsidRDefault="00CE6BA1" w:rsidP="00CE6BA1">
      <w:pPr>
        <w:pStyle w:val="BodyText"/>
        <w:numPr>
          <w:ilvl w:val="1"/>
          <w:numId w:val="48"/>
        </w:numPr>
        <w:rPr>
          <w:lang w:val="en-GB"/>
        </w:rPr>
      </w:pPr>
      <w:r>
        <w:rPr>
          <w:color w:val="000000"/>
        </w:rPr>
        <w:t>PDSCH resource mapping (38.214 §5.1.4)</w:t>
      </w:r>
    </w:p>
    <w:p w14:paraId="43A4B819" w14:textId="52AD55C4" w:rsidR="00325748" w:rsidRDefault="00325748" w:rsidP="00325748">
      <w:pPr>
        <w:pStyle w:val="BodyText"/>
        <w:numPr>
          <w:ilvl w:val="1"/>
          <w:numId w:val="48"/>
        </w:numPr>
        <w:rPr>
          <w:lang w:val="en-GB"/>
        </w:rPr>
      </w:pPr>
      <w:r>
        <w:rPr>
          <w:lang w:val="en-GB"/>
        </w:rPr>
        <w:t xml:space="preserve">Invalidation of </w:t>
      </w:r>
      <w:r w:rsidR="00C46D10">
        <w:rPr>
          <w:lang w:val="en-GB"/>
        </w:rPr>
        <w:t>P</w:t>
      </w:r>
      <w:r>
        <w:rPr>
          <w:lang w:val="en-GB"/>
        </w:rPr>
        <w:t>RACH occasions (38.213 §8.1)</w:t>
      </w:r>
    </w:p>
    <w:p w14:paraId="1ECDC429" w14:textId="6CE75747" w:rsidR="004B46D6" w:rsidRPr="00ED20EF" w:rsidRDefault="004B46D6" w:rsidP="00327E1F">
      <w:pPr>
        <w:pStyle w:val="BodyText"/>
        <w:numPr>
          <w:ilvl w:val="1"/>
          <w:numId w:val="48"/>
        </w:numPr>
        <w:rPr>
          <w:lang w:val="en-GB"/>
        </w:rPr>
      </w:pPr>
      <w:r>
        <w:t>Suppression of UL transmissions (38.213 §11.1)</w:t>
      </w:r>
    </w:p>
    <w:p w14:paraId="2A5B1413" w14:textId="77777777" w:rsidR="00370F79" w:rsidRDefault="00370F79" w:rsidP="00370F79">
      <w:pPr>
        <w:pStyle w:val="BodyText"/>
        <w:numPr>
          <w:ilvl w:val="1"/>
          <w:numId w:val="48"/>
        </w:numPr>
        <w:rPr>
          <w:lang w:val="en-GB"/>
        </w:rPr>
      </w:pPr>
      <w:r>
        <w:rPr>
          <w:lang w:val="en-GB"/>
        </w:rPr>
        <w:t>UE expectations on slot format (38.213 §11.1.1)</w:t>
      </w:r>
    </w:p>
    <w:p w14:paraId="078C332F" w14:textId="7A30C0EE" w:rsidR="00325748" w:rsidRDefault="00325748" w:rsidP="00325748">
      <w:pPr>
        <w:pStyle w:val="BodyText"/>
        <w:numPr>
          <w:ilvl w:val="1"/>
          <w:numId w:val="48"/>
        </w:numPr>
        <w:rPr>
          <w:lang w:val="en-GB"/>
        </w:rPr>
      </w:pPr>
      <w:r>
        <w:rPr>
          <w:lang w:val="en-GB"/>
        </w:rPr>
        <w:t>PUCCH repetition (38.213 §9.2.6)</w:t>
      </w:r>
    </w:p>
    <w:p w14:paraId="1859CBBD" w14:textId="77777777" w:rsidR="007F138C" w:rsidRDefault="007F138C" w:rsidP="00321409">
      <w:pPr>
        <w:pStyle w:val="BodyText"/>
        <w:rPr>
          <w:lang w:val="en-GB"/>
        </w:rPr>
      </w:pPr>
    </w:p>
    <w:p w14:paraId="46090602" w14:textId="7E49299E" w:rsidR="001A1E11" w:rsidRDefault="001A1E11" w:rsidP="00135916">
      <w:pPr>
        <w:pStyle w:val="Heading2"/>
        <w:numPr>
          <w:ilvl w:val="1"/>
          <w:numId w:val="53"/>
        </w:numPr>
      </w:pPr>
      <w:r>
        <w:t>Mapping of SSBs to reception/transmission opportunities of other signals and channels</w:t>
      </w:r>
    </w:p>
    <w:p w14:paraId="0676C938" w14:textId="336472E5" w:rsidR="00E1755A" w:rsidRDefault="00791980" w:rsidP="00321409">
      <w:pPr>
        <w:pStyle w:val="BodyText"/>
        <w:rPr>
          <w:lang w:val="en-GB"/>
        </w:rPr>
      </w:pPr>
      <w:r>
        <w:rPr>
          <w:lang w:val="en-GB"/>
        </w:rPr>
        <w:t>First</w:t>
      </w:r>
      <w:r w:rsidR="00F3240E">
        <w:rPr>
          <w:lang w:val="en-GB"/>
        </w:rPr>
        <w:t>, we turn to the mapping cases 1</w:t>
      </w:r>
      <w:r w:rsidR="00135916">
        <w:rPr>
          <w:lang w:val="en-GB"/>
        </w:rPr>
        <w:t>)</w:t>
      </w:r>
      <w:r w:rsidR="00F3240E">
        <w:rPr>
          <w:lang w:val="en-GB"/>
        </w:rPr>
        <w:t xml:space="preserve"> above, even if strictly speaking 1b and 1c are defined in RAN2 specifications.</w:t>
      </w:r>
      <w:r w:rsidR="006A2CC4">
        <w:rPr>
          <w:lang w:val="en-GB"/>
        </w:rPr>
        <w:t xml:space="preserve"> </w:t>
      </w:r>
      <w:r w:rsidR="00473C75">
        <w:rPr>
          <w:lang w:val="en-GB"/>
        </w:rPr>
        <w:t>C</w:t>
      </w:r>
      <w:r w:rsidR="006A2CC4">
        <w:rPr>
          <w:lang w:val="en-GB"/>
        </w:rPr>
        <w:t xml:space="preserve">ommon for all the three cases is that </w:t>
      </w:r>
      <w:r w:rsidR="00DD77C9">
        <w:rPr>
          <w:lang w:val="en-GB"/>
        </w:rPr>
        <w:t>SS/PBCH indices with a corresponding one in the ssb-PositionsInBurst field are considered in the mapping.</w:t>
      </w:r>
      <w:r w:rsidR="008068FE">
        <w:rPr>
          <w:lang w:val="en-GB"/>
        </w:rPr>
        <w:t xml:space="preserve"> </w:t>
      </w:r>
      <w:r w:rsidR="00E57399">
        <w:rPr>
          <w:lang w:val="en-GB"/>
        </w:rPr>
        <w:t>Also,</w:t>
      </w:r>
      <w:r w:rsidR="008068FE">
        <w:rPr>
          <w:lang w:val="en-GB"/>
        </w:rPr>
        <w:t xml:space="preserve"> for these cases, the “beam</w:t>
      </w:r>
      <w:r w:rsidR="00F627BA">
        <w:rPr>
          <w:lang w:val="en-GB"/>
        </w:rPr>
        <w:t xml:space="preserve"> index</w:t>
      </w:r>
      <w:r w:rsidR="008068FE">
        <w:rPr>
          <w:lang w:val="en-GB"/>
        </w:rPr>
        <w:t>” interpretation of the SS/PBCH block</w:t>
      </w:r>
      <w:r w:rsidR="00F627BA">
        <w:rPr>
          <w:lang w:val="en-GB"/>
        </w:rPr>
        <w:t xml:space="preserve"> index is used.</w:t>
      </w:r>
    </w:p>
    <w:p w14:paraId="3D16470A" w14:textId="6937A004" w:rsidR="00DD77C9" w:rsidRPr="00ED20EF" w:rsidRDefault="00DD77C9" w:rsidP="00321409">
      <w:pPr>
        <w:pStyle w:val="BodyText"/>
        <w:rPr>
          <w:b/>
          <w:lang w:val="en-GB"/>
        </w:rPr>
      </w:pPr>
      <w:r w:rsidRPr="00ED20EF">
        <w:rPr>
          <w:b/>
          <w:lang w:val="en-GB"/>
        </w:rPr>
        <w:t>SSB-to-RO</w:t>
      </w:r>
      <w:r w:rsidR="00E0327E">
        <w:rPr>
          <w:b/>
          <w:lang w:val="en-GB"/>
        </w:rPr>
        <w:t xml:space="preserve"> (1a)</w:t>
      </w:r>
    </w:p>
    <w:p w14:paraId="5CBE9D1C" w14:textId="79C267D4" w:rsidR="00DD77C9" w:rsidRDefault="00DD77C9" w:rsidP="00321409">
      <w:pPr>
        <w:pStyle w:val="BodyText"/>
        <w:rPr>
          <w:lang w:val="en-GB"/>
        </w:rPr>
      </w:pPr>
      <w:r>
        <w:rPr>
          <w:lang w:val="en-GB"/>
        </w:rPr>
        <w:t>The procedure is basically described by the following paragraph in §8.1 in 38.213:</w:t>
      </w:r>
    </w:p>
    <w:tbl>
      <w:tblPr>
        <w:tblStyle w:val="TableGrid"/>
        <w:tblW w:w="0" w:type="auto"/>
        <w:tblLook w:val="04A0" w:firstRow="1" w:lastRow="0" w:firstColumn="1" w:lastColumn="0" w:noHBand="0" w:noVBand="1"/>
      </w:tblPr>
      <w:tblGrid>
        <w:gridCol w:w="9629"/>
      </w:tblGrid>
      <w:tr w:rsidR="007B313A" w14:paraId="5FD4B790" w14:textId="77777777" w:rsidTr="007B313A">
        <w:tc>
          <w:tcPr>
            <w:tcW w:w="9629" w:type="dxa"/>
          </w:tcPr>
          <w:p w14:paraId="18A110BB" w14:textId="77777777" w:rsidR="007B313A" w:rsidRPr="00DD77C9" w:rsidRDefault="007B313A" w:rsidP="007B313A">
            <w:pPr>
              <w:spacing w:after="240" w:line="240" w:lineRule="auto"/>
              <w:rPr>
                <w:rFonts w:ascii="Times New Roman" w:eastAsia="Times New Roman" w:hAnsi="Times New Roman" w:cs="Times New Roman"/>
                <w:sz w:val="20"/>
                <w:szCs w:val="20"/>
                <w:lang w:val="en-GB"/>
              </w:rPr>
            </w:pPr>
            <w:r w:rsidRPr="00936002">
              <w:rPr>
                <w:rFonts w:ascii="Times New Roman" w:eastAsia="Times New Roman" w:hAnsi="Times New Roman" w:cs="Times New Roman"/>
                <w:sz w:val="20"/>
                <w:szCs w:val="20"/>
                <w:lang w:val="en-GB"/>
              </w:rPr>
              <w:t xml:space="preserve">SS/PBCH block indexes </w:t>
            </w:r>
            <w:r w:rsidRPr="00936002">
              <w:rPr>
                <w:rFonts w:ascii="Times New Roman" w:eastAsia="Times New Roman" w:hAnsi="Times New Roman" w:cs="Times New Roman" w:hint="eastAsia"/>
                <w:sz w:val="20"/>
                <w:szCs w:val="20"/>
                <w:lang w:val="en-GB" w:eastAsia="zh-CN"/>
              </w:rPr>
              <w:t>provided by</w:t>
            </w:r>
            <w:r w:rsidRPr="00936002">
              <w:rPr>
                <w:rFonts w:ascii="Times New Roman" w:eastAsia="Times New Roman" w:hAnsi="Times New Roman" w:cs="Times New Roman"/>
                <w:sz w:val="20"/>
                <w:szCs w:val="20"/>
                <w:lang w:val="en-GB"/>
              </w:rPr>
              <w:t xml:space="preserve"> </w:t>
            </w:r>
            <w:r w:rsidRPr="00936002">
              <w:rPr>
                <w:rFonts w:ascii="Times New Roman" w:eastAsia="Times New Roman" w:hAnsi="Times New Roman" w:cs="Times New Roman"/>
                <w:i/>
                <w:sz w:val="20"/>
                <w:szCs w:val="20"/>
                <w:lang w:val="en-GB"/>
              </w:rPr>
              <w:t>ssb-PositionsInBurst</w:t>
            </w:r>
            <w:r w:rsidRPr="00936002">
              <w:rPr>
                <w:rFonts w:ascii="Times New Roman" w:eastAsia="Times New Roman" w:hAnsi="Times New Roman" w:cs="Times New Roman"/>
                <w:sz w:val="20"/>
                <w:szCs w:val="20"/>
                <w:lang w:val="en-GB"/>
              </w:rPr>
              <w:t xml:space="preserve"> </w:t>
            </w:r>
            <w:r w:rsidRPr="00DD77C9">
              <w:rPr>
                <w:rFonts w:ascii="Times New Roman" w:eastAsia="Times New Roman" w:hAnsi="Times New Roman" w:cs="Times New Roman"/>
                <w:sz w:val="20"/>
                <w:szCs w:val="20"/>
              </w:rPr>
              <w:t xml:space="preserve">in </w:t>
            </w:r>
            <w:r w:rsidRPr="00DD77C9">
              <w:rPr>
                <w:rFonts w:ascii="Times New Roman" w:eastAsia="Times New Roman" w:hAnsi="Times New Roman" w:cs="Times New Roman"/>
                <w:i/>
                <w:sz w:val="20"/>
                <w:szCs w:val="20"/>
                <w:lang w:val="en-GB"/>
              </w:rPr>
              <w:t>S</w:t>
            </w:r>
            <w:r w:rsidRPr="00DD77C9">
              <w:rPr>
                <w:rFonts w:ascii="Times New Roman" w:eastAsia="Times New Roman" w:hAnsi="Times New Roman" w:cs="Times New Roman" w:hint="eastAsia"/>
                <w:i/>
                <w:sz w:val="20"/>
                <w:szCs w:val="20"/>
                <w:lang w:val="en-GB" w:eastAsia="zh-CN"/>
              </w:rPr>
              <w:t>IB</w:t>
            </w:r>
            <w:r w:rsidRPr="00DD77C9">
              <w:rPr>
                <w:rFonts w:ascii="Times New Roman" w:eastAsia="Times New Roman" w:hAnsi="Times New Roman" w:cs="Times New Roman"/>
                <w:i/>
                <w:sz w:val="20"/>
                <w:szCs w:val="20"/>
                <w:lang w:val="en-GB"/>
              </w:rPr>
              <w:t>1</w:t>
            </w:r>
            <w:r w:rsidRPr="00DD77C9">
              <w:rPr>
                <w:rFonts w:ascii="Times New Roman" w:eastAsia="Times New Roman" w:hAnsi="Times New Roman" w:cs="Times New Roman"/>
                <w:sz w:val="20"/>
                <w:szCs w:val="20"/>
                <w:lang w:val="en-GB"/>
              </w:rPr>
              <w:t xml:space="preserve"> or in </w:t>
            </w:r>
            <w:r w:rsidRPr="00DD77C9">
              <w:rPr>
                <w:rFonts w:ascii="Times New Roman" w:eastAsia="Times New Roman" w:hAnsi="Times New Roman" w:cs="Times New Roman"/>
                <w:i/>
                <w:sz w:val="20"/>
                <w:szCs w:val="20"/>
                <w:lang w:val="en-GB"/>
              </w:rPr>
              <w:t>ServingCellConfigCommon</w:t>
            </w:r>
            <w:r w:rsidRPr="00DD77C9">
              <w:rPr>
                <w:rFonts w:ascii="Times New Roman" w:eastAsia="Times New Roman" w:hAnsi="Times New Roman" w:cs="Times New Roman"/>
                <w:sz w:val="20"/>
                <w:szCs w:val="20"/>
                <w:lang w:val="en-GB"/>
              </w:rPr>
              <w:t xml:space="preserve"> are mapped to valid PRACH occasions in the following order where the parameters are </w:t>
            </w:r>
            <w:r w:rsidRPr="00DD77C9">
              <w:rPr>
                <w:rFonts w:ascii="Times New Roman" w:eastAsia="Times New Roman" w:hAnsi="Times New Roman" w:cs="Times New Roman"/>
                <w:sz w:val="20"/>
                <w:szCs w:val="20"/>
              </w:rPr>
              <w:t>described in [4, TS 38.211]</w:t>
            </w:r>
            <w:r w:rsidRPr="00DD77C9">
              <w:rPr>
                <w:rFonts w:ascii="Times New Roman" w:eastAsia="Times New Roman" w:hAnsi="Times New Roman" w:cs="Times New Roman"/>
                <w:sz w:val="20"/>
                <w:szCs w:val="20"/>
                <w:lang w:val="en-GB"/>
              </w:rPr>
              <w:t>.</w:t>
            </w:r>
          </w:p>
          <w:p w14:paraId="760B989E" w14:textId="77777777" w:rsidR="007B313A" w:rsidRPr="00DD77C9" w:rsidRDefault="007B313A" w:rsidP="007B313A">
            <w:pPr>
              <w:spacing w:after="240" w:line="240" w:lineRule="auto"/>
              <w:ind w:left="568" w:hanging="284"/>
              <w:rPr>
                <w:rFonts w:ascii="Times New Roman" w:eastAsia="Times New Roman" w:hAnsi="Times New Roman" w:cs="Times New Roman"/>
                <w:sz w:val="20"/>
                <w:szCs w:val="20"/>
              </w:rPr>
            </w:pPr>
            <w:r w:rsidRPr="00DD77C9">
              <w:rPr>
                <w:rFonts w:ascii="Times New Roman" w:eastAsia="Times New Roman" w:hAnsi="Times New Roman" w:cs="Times New Roman"/>
                <w:sz w:val="20"/>
                <w:szCs w:val="20"/>
                <w:lang w:val="x-none"/>
              </w:rPr>
              <w:t>-</w:t>
            </w:r>
            <w:r w:rsidRPr="00DD77C9">
              <w:rPr>
                <w:rFonts w:ascii="Times New Roman" w:eastAsia="Times New Roman" w:hAnsi="Times New Roman" w:cs="Times New Roman"/>
                <w:sz w:val="20"/>
                <w:szCs w:val="20"/>
                <w:lang w:val="x-none"/>
              </w:rPr>
              <w:tab/>
              <w:t>First</w:t>
            </w:r>
            <w:r w:rsidRPr="00DD77C9">
              <w:rPr>
                <w:rFonts w:ascii="Times New Roman" w:eastAsia="Times New Roman" w:hAnsi="Times New Roman" w:cs="Times New Roman"/>
                <w:sz w:val="20"/>
                <w:szCs w:val="20"/>
              </w:rPr>
              <w:t>,</w:t>
            </w:r>
            <w:r w:rsidRPr="00DD77C9">
              <w:rPr>
                <w:rFonts w:ascii="Times New Roman" w:eastAsia="Times New Roman" w:hAnsi="Times New Roman" w:cs="Times New Roman"/>
                <w:sz w:val="20"/>
                <w:szCs w:val="20"/>
                <w:lang w:val="x-none"/>
              </w:rPr>
              <w:t xml:space="preserve"> in increasing </w:t>
            </w:r>
            <w:r w:rsidRPr="00DD77C9">
              <w:rPr>
                <w:rFonts w:ascii="Times New Roman" w:eastAsia="Times New Roman" w:hAnsi="Times New Roman" w:cs="Times New Roman"/>
                <w:sz w:val="20"/>
                <w:szCs w:val="20"/>
              </w:rPr>
              <w:t xml:space="preserve">order of </w:t>
            </w:r>
            <w:r w:rsidRPr="00DD77C9">
              <w:rPr>
                <w:rFonts w:ascii="Times New Roman" w:eastAsia="Times New Roman" w:hAnsi="Times New Roman" w:cs="Times New Roman"/>
                <w:sz w:val="20"/>
                <w:szCs w:val="20"/>
                <w:lang w:val="x-none"/>
              </w:rPr>
              <w:t>preamble ind</w:t>
            </w:r>
            <w:r w:rsidRPr="00DD77C9">
              <w:rPr>
                <w:rFonts w:ascii="Times New Roman" w:eastAsia="Times New Roman" w:hAnsi="Times New Roman" w:cs="Times New Roman"/>
                <w:sz w:val="20"/>
                <w:szCs w:val="20"/>
              </w:rPr>
              <w:t>exes</w:t>
            </w:r>
            <w:r w:rsidRPr="00DD77C9">
              <w:rPr>
                <w:rFonts w:ascii="Times New Roman" w:eastAsia="Times New Roman" w:hAnsi="Times New Roman" w:cs="Times New Roman"/>
                <w:sz w:val="20"/>
                <w:szCs w:val="20"/>
                <w:lang w:val="x-none"/>
              </w:rPr>
              <w:t xml:space="preserve"> within a single </w:t>
            </w:r>
            <w:r w:rsidRPr="00DD77C9">
              <w:rPr>
                <w:rFonts w:ascii="Times New Roman" w:eastAsia="Times New Roman" w:hAnsi="Times New Roman" w:cs="Times New Roman"/>
                <w:sz w:val="20"/>
                <w:szCs w:val="20"/>
              </w:rPr>
              <w:t>P</w:t>
            </w:r>
            <w:r w:rsidRPr="00DD77C9">
              <w:rPr>
                <w:rFonts w:ascii="Times New Roman" w:eastAsia="Times New Roman" w:hAnsi="Times New Roman" w:cs="Times New Roman"/>
                <w:sz w:val="20"/>
                <w:szCs w:val="20"/>
                <w:lang w:val="x-none"/>
              </w:rPr>
              <w:t>RACH occasion</w:t>
            </w:r>
          </w:p>
          <w:p w14:paraId="35EAD890" w14:textId="77777777" w:rsidR="007B313A" w:rsidRPr="00DD77C9" w:rsidRDefault="007B313A" w:rsidP="007B313A">
            <w:pPr>
              <w:spacing w:after="240" w:line="240" w:lineRule="auto"/>
              <w:ind w:left="568" w:hanging="284"/>
              <w:rPr>
                <w:rFonts w:ascii="Times New Roman" w:eastAsia="Times New Roman" w:hAnsi="Times New Roman" w:cs="Times New Roman"/>
                <w:sz w:val="20"/>
                <w:szCs w:val="20"/>
              </w:rPr>
            </w:pPr>
            <w:r w:rsidRPr="00DD77C9">
              <w:rPr>
                <w:rFonts w:ascii="Times New Roman" w:eastAsia="Times New Roman" w:hAnsi="Times New Roman" w:cs="Times New Roman"/>
                <w:sz w:val="20"/>
                <w:szCs w:val="20"/>
              </w:rPr>
              <w:t>-</w:t>
            </w:r>
            <w:r w:rsidRPr="00DD77C9">
              <w:rPr>
                <w:rFonts w:ascii="Times New Roman" w:eastAsia="Times New Roman" w:hAnsi="Times New Roman" w:cs="Times New Roman"/>
                <w:sz w:val="20"/>
                <w:szCs w:val="20"/>
                <w:lang w:val="x-none"/>
              </w:rPr>
              <w:tab/>
            </w:r>
            <w:r w:rsidRPr="00DD77C9">
              <w:rPr>
                <w:rFonts w:ascii="Times New Roman" w:eastAsia="Times New Roman" w:hAnsi="Times New Roman" w:cs="Times New Roman"/>
                <w:sz w:val="20"/>
                <w:szCs w:val="20"/>
              </w:rPr>
              <w:t>Second,</w:t>
            </w:r>
            <w:r w:rsidRPr="00DD77C9">
              <w:rPr>
                <w:rFonts w:ascii="Times New Roman" w:eastAsia="Times New Roman" w:hAnsi="Times New Roman" w:cs="Times New Roman"/>
                <w:sz w:val="20"/>
                <w:szCs w:val="20"/>
                <w:lang w:val="x-none"/>
              </w:rPr>
              <w:t xml:space="preserve"> in increasing </w:t>
            </w:r>
            <w:r w:rsidRPr="00DD77C9">
              <w:rPr>
                <w:rFonts w:ascii="Times New Roman" w:eastAsia="Times New Roman" w:hAnsi="Times New Roman" w:cs="Times New Roman"/>
                <w:sz w:val="20"/>
                <w:szCs w:val="20"/>
              </w:rPr>
              <w:t>order</w:t>
            </w:r>
            <w:r w:rsidRPr="00DD77C9">
              <w:rPr>
                <w:rFonts w:ascii="Times New Roman" w:eastAsia="Times New Roman" w:hAnsi="Times New Roman" w:cs="Times New Roman"/>
                <w:sz w:val="20"/>
                <w:szCs w:val="20"/>
                <w:lang w:val="x-none"/>
              </w:rPr>
              <w:t xml:space="preserve"> of </w:t>
            </w:r>
            <w:r w:rsidRPr="00DD77C9">
              <w:rPr>
                <w:rFonts w:ascii="Times New Roman" w:eastAsia="Times New Roman" w:hAnsi="Times New Roman" w:cs="Times New Roman"/>
                <w:sz w:val="20"/>
                <w:szCs w:val="20"/>
              </w:rPr>
              <w:t xml:space="preserve">frequency resource indexes for </w:t>
            </w:r>
            <w:r w:rsidRPr="00DD77C9">
              <w:rPr>
                <w:rFonts w:ascii="Times New Roman" w:eastAsia="Times New Roman" w:hAnsi="Times New Roman" w:cs="Times New Roman"/>
                <w:sz w:val="20"/>
                <w:szCs w:val="20"/>
                <w:lang w:val="x-none"/>
              </w:rPr>
              <w:t xml:space="preserve">frequency multiplexed </w:t>
            </w:r>
            <w:r w:rsidRPr="00DD77C9">
              <w:rPr>
                <w:rFonts w:ascii="Times New Roman" w:eastAsia="Times New Roman" w:hAnsi="Times New Roman" w:cs="Times New Roman"/>
                <w:sz w:val="20"/>
                <w:szCs w:val="20"/>
              </w:rPr>
              <w:t>P</w:t>
            </w:r>
            <w:r w:rsidRPr="00DD77C9">
              <w:rPr>
                <w:rFonts w:ascii="Times New Roman" w:eastAsia="Times New Roman" w:hAnsi="Times New Roman" w:cs="Times New Roman"/>
                <w:sz w:val="20"/>
                <w:szCs w:val="20"/>
                <w:lang w:val="x-none"/>
              </w:rPr>
              <w:t>RACH occasion</w:t>
            </w:r>
            <w:r w:rsidRPr="00DD77C9">
              <w:rPr>
                <w:rFonts w:ascii="Times New Roman" w:eastAsia="Times New Roman" w:hAnsi="Times New Roman" w:cs="Times New Roman"/>
                <w:sz w:val="20"/>
                <w:szCs w:val="20"/>
              </w:rPr>
              <w:t>s</w:t>
            </w:r>
          </w:p>
          <w:p w14:paraId="0D82ED33" w14:textId="77777777" w:rsidR="007B313A" w:rsidRPr="00DD77C9" w:rsidRDefault="007B313A" w:rsidP="007B313A">
            <w:pPr>
              <w:spacing w:after="240" w:line="240" w:lineRule="auto"/>
              <w:ind w:left="568" w:hanging="284"/>
              <w:rPr>
                <w:rFonts w:ascii="Times New Roman" w:eastAsia="Times New Roman" w:hAnsi="Times New Roman" w:cs="Times New Roman"/>
                <w:sz w:val="20"/>
                <w:szCs w:val="20"/>
              </w:rPr>
            </w:pPr>
            <w:r w:rsidRPr="00DD77C9">
              <w:rPr>
                <w:rFonts w:ascii="Times New Roman" w:eastAsia="Times New Roman" w:hAnsi="Times New Roman" w:cs="Times New Roman"/>
                <w:sz w:val="20"/>
                <w:szCs w:val="20"/>
              </w:rPr>
              <w:t>-</w:t>
            </w:r>
            <w:r w:rsidRPr="00DD77C9">
              <w:rPr>
                <w:rFonts w:ascii="Times New Roman" w:eastAsia="Times New Roman" w:hAnsi="Times New Roman" w:cs="Times New Roman"/>
                <w:sz w:val="20"/>
                <w:szCs w:val="20"/>
                <w:lang w:val="x-none"/>
              </w:rPr>
              <w:tab/>
            </w:r>
            <w:r w:rsidRPr="00DD77C9">
              <w:rPr>
                <w:rFonts w:ascii="Times New Roman" w:eastAsia="Times New Roman" w:hAnsi="Times New Roman" w:cs="Times New Roman"/>
                <w:sz w:val="20"/>
                <w:szCs w:val="20"/>
              </w:rPr>
              <w:t>Third,</w:t>
            </w:r>
            <w:r w:rsidRPr="00DD77C9">
              <w:rPr>
                <w:rFonts w:ascii="Times New Roman" w:eastAsia="Times New Roman" w:hAnsi="Times New Roman" w:cs="Times New Roman"/>
                <w:sz w:val="20"/>
                <w:szCs w:val="20"/>
                <w:lang w:val="x-none"/>
              </w:rPr>
              <w:t xml:space="preserve"> in increasing </w:t>
            </w:r>
            <w:r w:rsidRPr="00DD77C9">
              <w:rPr>
                <w:rFonts w:ascii="Times New Roman" w:eastAsia="Times New Roman" w:hAnsi="Times New Roman" w:cs="Times New Roman"/>
                <w:sz w:val="20"/>
                <w:szCs w:val="20"/>
              </w:rPr>
              <w:t>order of time resource indexes for</w:t>
            </w:r>
            <w:r w:rsidRPr="00DD77C9">
              <w:rPr>
                <w:rFonts w:ascii="Times New Roman" w:eastAsia="Times New Roman" w:hAnsi="Times New Roman" w:cs="Times New Roman"/>
                <w:sz w:val="20"/>
                <w:szCs w:val="20"/>
                <w:lang w:val="x-none"/>
              </w:rPr>
              <w:t xml:space="preserve"> time</w:t>
            </w:r>
            <w:r w:rsidRPr="00DD77C9">
              <w:rPr>
                <w:rFonts w:ascii="Times New Roman" w:eastAsia="Times New Roman" w:hAnsi="Times New Roman" w:cs="Times New Roman"/>
                <w:sz w:val="20"/>
                <w:szCs w:val="20"/>
              </w:rPr>
              <w:t xml:space="preserve"> multiplexed</w:t>
            </w:r>
            <w:r w:rsidRPr="00DD77C9">
              <w:rPr>
                <w:rFonts w:ascii="Times New Roman" w:eastAsia="Times New Roman" w:hAnsi="Times New Roman" w:cs="Times New Roman"/>
                <w:sz w:val="20"/>
                <w:szCs w:val="20"/>
                <w:lang w:val="x-none"/>
              </w:rPr>
              <w:t xml:space="preserve"> </w:t>
            </w:r>
            <w:r w:rsidRPr="00DD77C9">
              <w:rPr>
                <w:rFonts w:ascii="Times New Roman" w:eastAsia="Times New Roman" w:hAnsi="Times New Roman" w:cs="Times New Roman"/>
                <w:sz w:val="20"/>
                <w:szCs w:val="20"/>
              </w:rPr>
              <w:t>P</w:t>
            </w:r>
            <w:r w:rsidRPr="00DD77C9">
              <w:rPr>
                <w:rFonts w:ascii="Times New Roman" w:eastAsia="Times New Roman" w:hAnsi="Times New Roman" w:cs="Times New Roman"/>
                <w:sz w:val="20"/>
                <w:szCs w:val="20"/>
                <w:lang w:val="x-none"/>
              </w:rPr>
              <w:t>RACH occasion</w:t>
            </w:r>
            <w:r w:rsidRPr="00DD77C9">
              <w:rPr>
                <w:rFonts w:ascii="Times New Roman" w:eastAsia="Times New Roman" w:hAnsi="Times New Roman" w:cs="Times New Roman"/>
                <w:sz w:val="20"/>
                <w:szCs w:val="20"/>
              </w:rPr>
              <w:t>s</w:t>
            </w:r>
            <w:r w:rsidRPr="00DD77C9">
              <w:rPr>
                <w:rFonts w:ascii="Times New Roman" w:eastAsia="Times New Roman" w:hAnsi="Times New Roman" w:cs="Times New Roman"/>
                <w:sz w:val="20"/>
                <w:szCs w:val="20"/>
                <w:lang w:val="x-none"/>
              </w:rPr>
              <w:t xml:space="preserve"> within a </w:t>
            </w:r>
            <w:r w:rsidRPr="00DD77C9">
              <w:rPr>
                <w:rFonts w:ascii="Times New Roman" w:eastAsia="Times New Roman" w:hAnsi="Times New Roman" w:cs="Times New Roman"/>
                <w:sz w:val="20"/>
                <w:szCs w:val="20"/>
              </w:rPr>
              <w:t>P</w:t>
            </w:r>
            <w:r w:rsidRPr="00DD77C9">
              <w:rPr>
                <w:rFonts w:ascii="Times New Roman" w:eastAsia="Times New Roman" w:hAnsi="Times New Roman" w:cs="Times New Roman"/>
                <w:sz w:val="20"/>
                <w:szCs w:val="20"/>
                <w:lang w:val="x-none"/>
              </w:rPr>
              <w:t>RACH slot</w:t>
            </w:r>
          </w:p>
          <w:p w14:paraId="52C4B807" w14:textId="423DDA18" w:rsidR="007B313A" w:rsidRPr="00ED20EF" w:rsidRDefault="007B313A" w:rsidP="00ED20EF">
            <w:pPr>
              <w:spacing w:after="240" w:line="240" w:lineRule="auto"/>
              <w:ind w:left="568" w:hanging="284"/>
            </w:pPr>
            <w:r w:rsidRPr="00DD77C9">
              <w:rPr>
                <w:rFonts w:ascii="Times New Roman" w:eastAsia="Times New Roman" w:hAnsi="Times New Roman" w:cs="Times New Roman"/>
                <w:sz w:val="20"/>
                <w:szCs w:val="20"/>
                <w:lang w:val="x-none"/>
              </w:rPr>
              <w:t>-</w:t>
            </w:r>
            <w:r w:rsidRPr="00DD77C9">
              <w:rPr>
                <w:rFonts w:ascii="Times New Roman" w:eastAsia="Times New Roman" w:hAnsi="Times New Roman" w:cs="Times New Roman"/>
                <w:sz w:val="20"/>
                <w:szCs w:val="20"/>
                <w:lang w:val="x-none"/>
              </w:rPr>
              <w:tab/>
            </w:r>
            <w:r w:rsidRPr="00DD77C9">
              <w:rPr>
                <w:rFonts w:ascii="Times New Roman" w:eastAsia="Times New Roman" w:hAnsi="Times New Roman" w:cs="Times New Roman"/>
                <w:sz w:val="20"/>
                <w:szCs w:val="20"/>
              </w:rPr>
              <w:t>Fourth,</w:t>
            </w:r>
            <w:r w:rsidRPr="00DD77C9">
              <w:rPr>
                <w:rFonts w:ascii="Times New Roman" w:eastAsia="Times New Roman" w:hAnsi="Times New Roman" w:cs="Times New Roman"/>
                <w:sz w:val="20"/>
                <w:szCs w:val="20"/>
                <w:lang w:val="x-none"/>
              </w:rPr>
              <w:t xml:space="preserve"> in increasing </w:t>
            </w:r>
            <w:r w:rsidRPr="00DD77C9">
              <w:rPr>
                <w:rFonts w:ascii="Times New Roman" w:eastAsia="Times New Roman" w:hAnsi="Times New Roman" w:cs="Times New Roman"/>
                <w:sz w:val="20"/>
                <w:szCs w:val="20"/>
              </w:rPr>
              <w:t>order of indexes for P</w:t>
            </w:r>
            <w:r w:rsidRPr="00DD77C9">
              <w:rPr>
                <w:rFonts w:ascii="Times New Roman" w:eastAsia="Times New Roman" w:hAnsi="Times New Roman" w:cs="Times New Roman"/>
                <w:sz w:val="20"/>
                <w:szCs w:val="20"/>
                <w:lang w:val="x-none"/>
              </w:rPr>
              <w:t>RACH slots</w:t>
            </w:r>
          </w:p>
        </w:tc>
      </w:tr>
    </w:tbl>
    <w:p w14:paraId="32163756" w14:textId="1B5E97AA" w:rsidR="007B313A" w:rsidRDefault="007B313A" w:rsidP="00321409">
      <w:pPr>
        <w:pStyle w:val="BodyText"/>
        <w:rPr>
          <w:lang w:val="en-GB"/>
        </w:rPr>
      </w:pPr>
    </w:p>
    <w:p w14:paraId="16ED199F" w14:textId="751D7E0D" w:rsidR="00F627BA" w:rsidRDefault="00F627BA" w:rsidP="00F627BA">
      <w:pPr>
        <w:pStyle w:val="Observation"/>
        <w:rPr>
          <w:lang w:val="en-GB"/>
        </w:rPr>
      </w:pPr>
      <w:bookmarkStart w:id="23" w:name="_Toc24104670"/>
      <w:r>
        <w:rPr>
          <w:lang w:val="en-GB"/>
        </w:rPr>
        <w:t>If the SS/PBCH block index is defined as modulo(</w:t>
      </w:r>
      <w:proofErr w:type="gramStart"/>
      <w:r>
        <w:rPr>
          <w:lang w:val="en-GB"/>
        </w:rPr>
        <w:t>A,Q</w:t>
      </w:r>
      <w:proofErr w:type="gramEnd"/>
      <w:r>
        <w:rPr>
          <w:lang w:val="en-GB"/>
        </w:rPr>
        <w:t xml:space="preserve">) </w:t>
      </w:r>
      <w:r w:rsidR="00E8748F">
        <w:rPr>
          <w:lang w:val="en-GB"/>
        </w:rPr>
        <w:t xml:space="preserve">as in </w:t>
      </w:r>
      <w:r w:rsidR="00E8748F">
        <w:rPr>
          <w:lang w:val="en-GB"/>
        </w:rPr>
        <w:fldChar w:fldCharType="begin"/>
      </w:r>
      <w:r w:rsidR="00E8748F">
        <w:rPr>
          <w:lang w:val="en-GB"/>
        </w:rPr>
        <w:instrText xml:space="preserve"> REF _Ref23955548 \r \h </w:instrText>
      </w:r>
      <w:r w:rsidR="00E8748F">
        <w:rPr>
          <w:lang w:val="en-GB"/>
        </w:rPr>
      </w:r>
      <w:r w:rsidR="00E8748F">
        <w:rPr>
          <w:lang w:val="en-GB"/>
        </w:rPr>
        <w:fldChar w:fldCharType="separate"/>
      </w:r>
      <w:r w:rsidR="00E8748F">
        <w:rPr>
          <w:lang w:val="en-GB"/>
        </w:rPr>
        <w:t>Proposal 8</w:t>
      </w:r>
      <w:r w:rsidR="00E8748F">
        <w:rPr>
          <w:lang w:val="en-GB"/>
        </w:rPr>
        <w:fldChar w:fldCharType="end"/>
      </w:r>
      <w:r w:rsidR="00E8748F">
        <w:rPr>
          <w:lang w:val="en-GB"/>
        </w:rPr>
        <w:t xml:space="preserve">, </w:t>
      </w:r>
      <w:r>
        <w:rPr>
          <w:lang w:val="en-GB"/>
        </w:rPr>
        <w:t>the “beam index” to PRACH occasion mapping is preserved without modifying the Rel-15 procedure.</w:t>
      </w:r>
      <w:bookmarkEnd w:id="23"/>
    </w:p>
    <w:p w14:paraId="51B4B591" w14:textId="5CE6AFF3" w:rsidR="00BA1926" w:rsidRDefault="009F6593" w:rsidP="00321409">
      <w:pPr>
        <w:pStyle w:val="BodyText"/>
        <w:rPr>
          <w:lang w:val="en-GB"/>
        </w:rPr>
      </w:pPr>
      <w:bookmarkStart w:id="24" w:name="_Hlk24021734"/>
      <w:r>
        <w:rPr>
          <w:lang w:val="en-GB"/>
        </w:rPr>
        <w:t>With this definition,</w:t>
      </w:r>
      <w:r w:rsidR="00BA1926">
        <w:rPr>
          <w:lang w:val="en-GB"/>
        </w:rPr>
        <w:t xml:space="preserve"> the </w:t>
      </w:r>
      <w:r>
        <w:rPr>
          <w:lang w:val="en-GB"/>
        </w:rPr>
        <w:t>text “</w:t>
      </w:r>
      <w:r w:rsidR="00BA1926" w:rsidRPr="00936002">
        <w:rPr>
          <w:rFonts w:ascii="Times New Roman" w:eastAsia="Times New Roman" w:hAnsi="Times New Roman" w:cs="Times New Roman"/>
          <w:sz w:val="20"/>
          <w:szCs w:val="20"/>
          <w:lang w:val="en-GB"/>
        </w:rPr>
        <w:t xml:space="preserve">SS/PBCH </w:t>
      </w:r>
      <w:r w:rsidRPr="00936002">
        <w:rPr>
          <w:rFonts w:ascii="Times New Roman" w:eastAsia="Times New Roman" w:hAnsi="Times New Roman" w:cs="Times New Roman"/>
          <w:sz w:val="20"/>
          <w:szCs w:val="20"/>
          <w:lang w:val="en-GB"/>
        </w:rPr>
        <w:t xml:space="preserve">block indexes </w:t>
      </w:r>
      <w:r w:rsidRPr="00936002">
        <w:rPr>
          <w:rFonts w:ascii="Times New Roman" w:eastAsia="Times New Roman" w:hAnsi="Times New Roman" w:cs="Times New Roman" w:hint="eastAsia"/>
          <w:sz w:val="20"/>
          <w:szCs w:val="20"/>
          <w:lang w:val="en-GB"/>
        </w:rPr>
        <w:t>provided by</w:t>
      </w:r>
      <w:r w:rsidRPr="00936002">
        <w:rPr>
          <w:rFonts w:ascii="Times New Roman" w:eastAsia="Times New Roman" w:hAnsi="Times New Roman" w:cs="Times New Roman"/>
          <w:sz w:val="20"/>
          <w:szCs w:val="20"/>
          <w:lang w:val="en-GB"/>
        </w:rPr>
        <w:t xml:space="preserve"> </w:t>
      </w:r>
      <w:r w:rsidRPr="00936002">
        <w:rPr>
          <w:rFonts w:ascii="Times New Roman" w:eastAsia="Times New Roman" w:hAnsi="Times New Roman" w:cs="Times New Roman"/>
          <w:i/>
          <w:sz w:val="20"/>
          <w:szCs w:val="20"/>
          <w:lang w:val="en-GB"/>
        </w:rPr>
        <w:t>ssb-PositionsInBurst</w:t>
      </w:r>
      <w:r>
        <w:rPr>
          <w:rFonts w:ascii="Times New Roman" w:eastAsia="Times New Roman" w:hAnsi="Times New Roman" w:cs="Times New Roman"/>
          <w:i/>
          <w:sz w:val="20"/>
          <w:szCs w:val="20"/>
          <w:lang w:val="en-GB"/>
        </w:rPr>
        <w:t>”</w:t>
      </w:r>
      <w:r w:rsidRPr="002C500F">
        <w:rPr>
          <w:lang w:val="en-GB"/>
        </w:rPr>
        <w:t xml:space="preserve"> in the above </w:t>
      </w:r>
      <w:r>
        <w:rPr>
          <w:lang w:val="en-GB"/>
        </w:rPr>
        <w:t xml:space="preserve">is to be interpreted as follows. For a particular set bit (bit = ‘1’) at position </w:t>
      </w:r>
      <w:r w:rsidRPr="00ED20EF">
        <w:rPr>
          <w:i/>
          <w:lang w:val="en-GB"/>
        </w:rPr>
        <w:t>k</w:t>
      </w:r>
      <w:r>
        <w:rPr>
          <w:lang w:val="en-GB"/>
        </w:rPr>
        <w:t xml:space="preserve"> in the </w:t>
      </w:r>
      <w:r w:rsidRPr="00ED20EF">
        <w:rPr>
          <w:i/>
          <w:lang w:val="en-GB"/>
        </w:rPr>
        <w:t>ssb-PositionsInBurst</w:t>
      </w:r>
      <w:r>
        <w:rPr>
          <w:lang w:val="en-GB"/>
        </w:rPr>
        <w:t xml:space="preserve"> bitmap, all candidate SS/PBCH block indices </w:t>
      </w:r>
      <w:r w:rsidR="00747796">
        <w:rPr>
          <w:lang w:val="en-GB"/>
        </w:rPr>
        <w:t>for</w:t>
      </w:r>
      <w:r w:rsidR="00BA1926">
        <w:rPr>
          <w:lang w:val="en-GB"/>
        </w:rPr>
        <w:t xml:space="preserve"> which </w:t>
      </w:r>
      <w:r>
        <w:rPr>
          <w:lang w:val="en-GB"/>
        </w:rPr>
        <w:t>the SS/PBCH block index = mod(</w:t>
      </w:r>
      <w:proofErr w:type="gramStart"/>
      <w:r>
        <w:rPr>
          <w:lang w:val="en-GB"/>
        </w:rPr>
        <w:t>A,Q</w:t>
      </w:r>
      <w:proofErr w:type="gramEnd"/>
      <w:r>
        <w:rPr>
          <w:lang w:val="en-GB"/>
        </w:rPr>
        <w:t xml:space="preserve">) = </w:t>
      </w:r>
      <w:r w:rsidRPr="00ED20EF">
        <w:rPr>
          <w:i/>
          <w:lang w:val="en-GB"/>
        </w:rPr>
        <w:t>k</w:t>
      </w:r>
      <w:r>
        <w:rPr>
          <w:lang w:val="en-GB"/>
        </w:rPr>
        <w:t xml:space="preserve"> </w:t>
      </w:r>
      <w:r w:rsidR="00BA1926">
        <w:rPr>
          <w:lang w:val="en-GB"/>
        </w:rPr>
        <w:t xml:space="preserve">are </w:t>
      </w:r>
      <w:r>
        <w:rPr>
          <w:lang w:val="en-GB"/>
        </w:rPr>
        <w:t>map</w:t>
      </w:r>
      <w:r w:rsidR="00747796">
        <w:rPr>
          <w:lang w:val="en-GB"/>
        </w:rPr>
        <w:t>ped</w:t>
      </w:r>
      <w:r w:rsidR="00BA1926">
        <w:rPr>
          <w:lang w:val="en-GB"/>
        </w:rPr>
        <w:t xml:space="preserve"> to the same PRACH occasion/preamble.</w:t>
      </w:r>
      <w:r>
        <w:rPr>
          <w:lang w:val="en-GB"/>
        </w:rPr>
        <w:t xml:space="preserve"> </w:t>
      </w:r>
      <w:r w:rsidR="00BA1926">
        <w:rPr>
          <w:lang w:val="en-GB"/>
        </w:rPr>
        <w:t>This procedure preserves the Rel-15 property that SS/PBCH blocks which are QCL’d with each other should map to the same PRACH occasion/preamble.</w:t>
      </w:r>
    </w:p>
    <w:bookmarkEnd w:id="24"/>
    <w:p w14:paraId="0C63DF40" w14:textId="6B1D012D" w:rsidR="00F627BA" w:rsidRDefault="001A086F" w:rsidP="00321409">
      <w:pPr>
        <w:pStyle w:val="BodyText"/>
        <w:rPr>
          <w:lang w:val="en-GB"/>
        </w:rPr>
      </w:pPr>
      <w:r>
        <w:rPr>
          <w:lang w:val="en-GB"/>
        </w:rPr>
        <w:lastRenderedPageBreak/>
        <w:t xml:space="preserve">For example, consider a case for 30kHz SCS where Q=4 and the bitmap is 10100000. </w:t>
      </w:r>
      <w:proofErr w:type="gramStart"/>
      <w:r>
        <w:rPr>
          <w:lang w:val="en-GB"/>
        </w:rPr>
        <w:t>First of all</w:t>
      </w:r>
      <w:proofErr w:type="gramEnd"/>
      <w:r>
        <w:rPr>
          <w:lang w:val="en-GB"/>
        </w:rPr>
        <w:t>, this means that candidate SS/PBCH blocks with index 0,4,8,12,16 are QCL</w:t>
      </w:r>
      <w:r w:rsidR="00BA1926">
        <w:rPr>
          <w:lang w:val="en-GB"/>
        </w:rPr>
        <w:t>’</w:t>
      </w:r>
      <w:r>
        <w:rPr>
          <w:lang w:val="en-GB"/>
        </w:rPr>
        <w:t>d with each other and all have SS/PBCH block index equal to 0. Further candidate SS/PBCH block index 2,6,10,14,18 are QCL</w:t>
      </w:r>
      <w:r w:rsidR="00BA1926">
        <w:rPr>
          <w:lang w:val="en-GB"/>
        </w:rPr>
        <w:t>’</w:t>
      </w:r>
      <w:r>
        <w:rPr>
          <w:lang w:val="en-GB"/>
        </w:rPr>
        <w:t xml:space="preserve">d with each other and all have the SS/PBCH block index equal to 2. Because the bitmask </w:t>
      </w:r>
      <w:r w:rsidR="00747796">
        <w:rPr>
          <w:lang w:val="en-GB"/>
        </w:rPr>
        <w:t>h</w:t>
      </w:r>
      <w:r>
        <w:rPr>
          <w:lang w:val="en-GB"/>
        </w:rPr>
        <w:t xml:space="preserve">as </w:t>
      </w:r>
      <w:r w:rsidR="00747796">
        <w:rPr>
          <w:lang w:val="en-GB"/>
        </w:rPr>
        <w:t>set bits (bit = ‘1’)</w:t>
      </w:r>
      <w:r>
        <w:rPr>
          <w:lang w:val="en-GB"/>
        </w:rPr>
        <w:t xml:space="preserve"> in positions 0</w:t>
      </w:r>
      <w:r w:rsidR="005D2BB6">
        <w:rPr>
          <w:lang w:val="en-GB"/>
        </w:rPr>
        <w:t xml:space="preserve"> and 2 (numbering starting from 0), the first group of </w:t>
      </w:r>
      <w:proofErr w:type="gramStart"/>
      <w:r w:rsidR="005D2BB6">
        <w:rPr>
          <w:lang w:val="en-GB"/>
        </w:rPr>
        <w:t>candidate</w:t>
      </w:r>
      <w:proofErr w:type="gramEnd"/>
      <w:r w:rsidR="005D2BB6">
        <w:rPr>
          <w:lang w:val="en-GB"/>
        </w:rPr>
        <w:t xml:space="preserve"> SS/PBCH block indices (0,4,8,12,16) are mapped </w:t>
      </w:r>
      <w:r w:rsidR="00DC2E33">
        <w:rPr>
          <w:lang w:val="en-GB"/>
        </w:rPr>
        <w:t>to the first valid PRACH occasion</w:t>
      </w:r>
      <w:r w:rsidR="00BA1926">
        <w:rPr>
          <w:lang w:val="en-GB"/>
        </w:rPr>
        <w:t>/preamble</w:t>
      </w:r>
      <w:r w:rsidR="00DC2E33">
        <w:rPr>
          <w:lang w:val="en-GB"/>
        </w:rPr>
        <w:t>. Then t</w:t>
      </w:r>
      <w:r w:rsidR="005D2BB6">
        <w:rPr>
          <w:lang w:val="en-GB"/>
        </w:rPr>
        <w:t>he second group is mapped</w:t>
      </w:r>
      <w:r w:rsidR="00DC2E33">
        <w:rPr>
          <w:lang w:val="en-GB"/>
        </w:rPr>
        <w:t xml:space="preserve"> to the next</w:t>
      </w:r>
      <w:r w:rsidR="005D2BB6">
        <w:rPr>
          <w:lang w:val="en-GB"/>
        </w:rPr>
        <w:t>, and then the first group again</w:t>
      </w:r>
      <w:r w:rsidR="00747796">
        <w:rPr>
          <w:lang w:val="en-GB"/>
        </w:rPr>
        <w:t>,</w:t>
      </w:r>
      <w:r w:rsidR="005D2BB6">
        <w:rPr>
          <w:lang w:val="en-GB"/>
        </w:rPr>
        <w:t xml:space="preserve"> and so on.</w:t>
      </w:r>
      <w:r w:rsidR="00D77FE3">
        <w:rPr>
          <w:lang w:val="en-GB"/>
        </w:rPr>
        <w:t xml:space="preserve"> </w:t>
      </w:r>
    </w:p>
    <w:p w14:paraId="3009DF1C" w14:textId="77777777" w:rsidR="00A81360" w:rsidRDefault="00A81360" w:rsidP="00321409">
      <w:pPr>
        <w:pStyle w:val="BodyText"/>
        <w:rPr>
          <w:lang w:val="en-GB"/>
        </w:rPr>
      </w:pPr>
    </w:p>
    <w:p w14:paraId="6BDD486B" w14:textId="3E77D176" w:rsidR="00DD77C9" w:rsidRDefault="00DD77C9" w:rsidP="00321409">
      <w:pPr>
        <w:pStyle w:val="BodyText"/>
        <w:rPr>
          <w:b/>
          <w:lang w:val="en-GB"/>
        </w:rPr>
      </w:pPr>
      <w:r w:rsidRPr="00ED20EF">
        <w:rPr>
          <w:b/>
          <w:lang w:val="en-GB"/>
        </w:rPr>
        <w:t>SSB-to-PDCCH for OSI</w:t>
      </w:r>
      <w:r w:rsidR="00E0327E">
        <w:rPr>
          <w:b/>
          <w:lang w:val="en-GB"/>
        </w:rPr>
        <w:t xml:space="preserve"> (1b)</w:t>
      </w:r>
    </w:p>
    <w:p w14:paraId="4057CC35" w14:textId="59E4A634" w:rsidR="008221EC" w:rsidRDefault="008221EC" w:rsidP="008221EC">
      <w:pPr>
        <w:pStyle w:val="BodyText"/>
        <w:rPr>
          <w:lang w:val="en-GB"/>
        </w:rPr>
      </w:pPr>
      <w:r>
        <w:rPr>
          <w:lang w:val="en-GB"/>
        </w:rPr>
        <w:t>The procedure is basically described by the following paragraph in §</w:t>
      </w:r>
      <w:r w:rsidRPr="008221EC">
        <w:rPr>
          <w:lang w:val="en-GB"/>
        </w:rPr>
        <w:t>5.2.2.3.2</w:t>
      </w:r>
      <w:r>
        <w:rPr>
          <w:lang w:val="en-GB"/>
        </w:rPr>
        <w:t>in 38.331:</w:t>
      </w:r>
    </w:p>
    <w:tbl>
      <w:tblPr>
        <w:tblStyle w:val="TableGrid"/>
        <w:tblW w:w="0" w:type="auto"/>
        <w:tblLook w:val="04A0" w:firstRow="1" w:lastRow="0" w:firstColumn="1" w:lastColumn="0" w:noHBand="0" w:noVBand="1"/>
      </w:tblPr>
      <w:tblGrid>
        <w:gridCol w:w="9629"/>
      </w:tblGrid>
      <w:tr w:rsidR="007B313A" w14:paraId="0FF02CA1" w14:textId="77777777" w:rsidTr="007B313A">
        <w:tc>
          <w:tcPr>
            <w:tcW w:w="9629" w:type="dxa"/>
          </w:tcPr>
          <w:p w14:paraId="47727384" w14:textId="77777777" w:rsidR="007B313A" w:rsidRDefault="007B313A" w:rsidP="007B313A">
            <w:pPr>
              <w:pStyle w:val="Default"/>
              <w:rPr>
                <w:color w:val="auto"/>
                <w:sz w:val="20"/>
                <w:szCs w:val="20"/>
                <w:lang w:val="en-US"/>
              </w:rPr>
            </w:pPr>
            <w:r w:rsidRPr="00785D8B">
              <w:rPr>
                <w:sz w:val="20"/>
                <w:szCs w:val="20"/>
                <w:lang w:val="en-US"/>
              </w:rPr>
              <w:t>The [</w:t>
            </w:r>
            <w:proofErr w:type="spellStart"/>
            <w:r w:rsidRPr="00785D8B">
              <w:rPr>
                <w:sz w:val="20"/>
                <w:szCs w:val="20"/>
                <w:lang w:val="en-US"/>
              </w:rPr>
              <w:t>x×N+K</w:t>
            </w:r>
            <w:proofErr w:type="spellEnd"/>
            <w:r w:rsidRPr="00785D8B">
              <w:rPr>
                <w:sz w:val="20"/>
                <w:szCs w:val="20"/>
                <w:lang w:val="en-US"/>
              </w:rPr>
              <w:t>]</w:t>
            </w:r>
            <w:proofErr w:type="spellStart"/>
            <w:r w:rsidRPr="00785D8B">
              <w:rPr>
                <w:sz w:val="13"/>
                <w:szCs w:val="13"/>
                <w:lang w:val="en-US"/>
              </w:rPr>
              <w:t>th</w:t>
            </w:r>
            <w:proofErr w:type="spellEnd"/>
            <w:r w:rsidRPr="00785D8B">
              <w:rPr>
                <w:sz w:val="13"/>
                <w:szCs w:val="13"/>
                <w:lang w:val="en-US"/>
              </w:rPr>
              <w:t xml:space="preserve"> </w:t>
            </w:r>
            <w:r w:rsidRPr="00785D8B">
              <w:rPr>
                <w:sz w:val="20"/>
                <w:szCs w:val="20"/>
                <w:lang w:val="en-US"/>
              </w:rPr>
              <w:t xml:space="preserve">PDCCH monitoring occasion (s) for SI message in </w:t>
            </w:r>
            <w:r w:rsidRPr="00785D8B">
              <w:rPr>
                <w:color w:val="auto"/>
                <w:sz w:val="20"/>
                <w:szCs w:val="20"/>
                <w:lang w:val="en-US"/>
              </w:rPr>
              <w:t>SI-window corresponds to the K</w:t>
            </w:r>
            <w:r w:rsidRPr="00785D8B">
              <w:rPr>
                <w:color w:val="auto"/>
                <w:sz w:val="13"/>
                <w:szCs w:val="13"/>
                <w:lang w:val="en-US"/>
              </w:rPr>
              <w:t xml:space="preserve">th </w:t>
            </w:r>
            <w:r w:rsidRPr="00785D8B">
              <w:rPr>
                <w:color w:val="auto"/>
                <w:sz w:val="20"/>
                <w:szCs w:val="20"/>
                <w:lang w:val="en-US"/>
              </w:rPr>
              <w:t xml:space="preserve">transmitted SSB, where x = 0, 1, ...X-1, K = 1, 2, …N, N is the number of actual transmitted SSBs determined according to </w:t>
            </w:r>
            <w:r w:rsidRPr="00785D8B">
              <w:rPr>
                <w:i/>
                <w:iCs/>
                <w:color w:val="auto"/>
                <w:sz w:val="20"/>
                <w:szCs w:val="20"/>
                <w:lang w:val="en-US"/>
              </w:rPr>
              <w:t xml:space="preserve">ssb-PositionsInBurst </w:t>
            </w:r>
            <w:r w:rsidRPr="00785D8B">
              <w:rPr>
                <w:color w:val="auto"/>
                <w:sz w:val="20"/>
                <w:szCs w:val="20"/>
                <w:lang w:val="en-US"/>
              </w:rPr>
              <w:t xml:space="preserve">in </w:t>
            </w:r>
            <w:r w:rsidRPr="00785D8B">
              <w:rPr>
                <w:i/>
                <w:iCs/>
                <w:color w:val="auto"/>
                <w:sz w:val="20"/>
                <w:szCs w:val="20"/>
                <w:lang w:val="en-US"/>
              </w:rPr>
              <w:t xml:space="preserve">SIB1 </w:t>
            </w:r>
            <w:r w:rsidRPr="00785D8B">
              <w:rPr>
                <w:color w:val="auto"/>
                <w:sz w:val="20"/>
                <w:szCs w:val="20"/>
                <w:lang w:val="en-US"/>
              </w:rPr>
              <w:t>and X is equal to CEIL(number of PDCCH monitoring occasions in SI-window/N). The actual transmitted SSBs are sequentially numbered from one in ascending order of their SSB indexes.</w:t>
            </w:r>
          </w:p>
          <w:p w14:paraId="3DC028F6" w14:textId="1A0B8823" w:rsidR="007B313A" w:rsidRPr="00ED20EF" w:rsidRDefault="007B313A" w:rsidP="00ED20EF">
            <w:pPr>
              <w:pStyle w:val="Default"/>
              <w:rPr>
                <w:lang w:val="en-US"/>
              </w:rPr>
            </w:pPr>
          </w:p>
        </w:tc>
      </w:tr>
    </w:tbl>
    <w:p w14:paraId="65222595" w14:textId="77777777" w:rsidR="008221EC" w:rsidRPr="00327E1F" w:rsidRDefault="008221EC" w:rsidP="00ED20EF">
      <w:pPr>
        <w:pStyle w:val="Default"/>
        <w:rPr>
          <w:lang w:val="en-GB"/>
        </w:rPr>
      </w:pPr>
    </w:p>
    <w:p w14:paraId="12017052" w14:textId="6459BF96" w:rsidR="00DD77C9" w:rsidRDefault="00DD77C9" w:rsidP="00321409">
      <w:pPr>
        <w:pStyle w:val="BodyText"/>
        <w:rPr>
          <w:b/>
          <w:lang w:val="en-GB"/>
        </w:rPr>
      </w:pPr>
      <w:r w:rsidRPr="00ED20EF">
        <w:rPr>
          <w:b/>
          <w:lang w:val="en-GB"/>
        </w:rPr>
        <w:t>SSB-to-PDCCH for paging</w:t>
      </w:r>
      <w:r w:rsidR="00E0327E">
        <w:rPr>
          <w:b/>
          <w:lang w:val="en-GB"/>
        </w:rPr>
        <w:t xml:space="preserve"> (1c)</w:t>
      </w:r>
    </w:p>
    <w:p w14:paraId="01F38EB7" w14:textId="0CC66FC4" w:rsidR="008221EC" w:rsidRDefault="008221EC" w:rsidP="008221EC">
      <w:pPr>
        <w:pStyle w:val="BodyText"/>
        <w:rPr>
          <w:lang w:val="en-GB"/>
        </w:rPr>
      </w:pPr>
      <w:r>
        <w:rPr>
          <w:lang w:val="en-GB"/>
        </w:rPr>
        <w:t>The procedure is basically described by the following paragraph in §6 38.304:</w:t>
      </w:r>
    </w:p>
    <w:tbl>
      <w:tblPr>
        <w:tblStyle w:val="TableGrid"/>
        <w:tblW w:w="0" w:type="auto"/>
        <w:tblLook w:val="04A0" w:firstRow="1" w:lastRow="0" w:firstColumn="1" w:lastColumn="0" w:noHBand="0" w:noVBand="1"/>
      </w:tblPr>
      <w:tblGrid>
        <w:gridCol w:w="9629"/>
      </w:tblGrid>
      <w:tr w:rsidR="007B313A" w14:paraId="0944ED14" w14:textId="77777777" w:rsidTr="007B313A">
        <w:tc>
          <w:tcPr>
            <w:tcW w:w="9629" w:type="dxa"/>
          </w:tcPr>
          <w:p w14:paraId="689723CA" w14:textId="321C54D3" w:rsidR="007B313A" w:rsidRPr="00ED20EF" w:rsidRDefault="007B313A" w:rsidP="0054278E">
            <w:pPr>
              <w:pStyle w:val="BodyText"/>
            </w:pPr>
            <w:r w:rsidRPr="00785D8B">
              <w:rPr>
                <w:rFonts w:ascii="Times New Roman" w:hAnsi="Times New Roman" w:cs="Times New Roman"/>
                <w:sz w:val="20"/>
                <w:szCs w:val="20"/>
              </w:rPr>
              <w:t xml:space="preserve">When </w:t>
            </w:r>
            <w:proofErr w:type="spellStart"/>
            <w:r w:rsidRPr="00785D8B">
              <w:rPr>
                <w:rFonts w:ascii="Times New Roman" w:hAnsi="Times New Roman" w:cs="Times New Roman"/>
                <w:i/>
                <w:sz w:val="20"/>
                <w:szCs w:val="20"/>
              </w:rPr>
              <w:t>SearchSpaceId</w:t>
            </w:r>
            <w:proofErr w:type="spellEnd"/>
            <w:r w:rsidRPr="00785D8B">
              <w:rPr>
                <w:rFonts w:ascii="Times New Roman" w:hAnsi="Times New Roman" w:cs="Times New Roman"/>
                <w:sz w:val="20"/>
                <w:szCs w:val="20"/>
              </w:rPr>
              <w:t xml:space="preserve"> other than 0 is configured for </w:t>
            </w:r>
            <w:proofErr w:type="spellStart"/>
            <w:r w:rsidRPr="00785D8B">
              <w:rPr>
                <w:rFonts w:ascii="Times New Roman" w:hAnsi="Times New Roman" w:cs="Times New Roman"/>
                <w:i/>
                <w:sz w:val="20"/>
                <w:szCs w:val="20"/>
              </w:rPr>
              <w:t>pagingSearchSpace</w:t>
            </w:r>
            <w:proofErr w:type="spellEnd"/>
            <w:r w:rsidRPr="00785D8B">
              <w:rPr>
                <w:rFonts w:ascii="Times New Roman" w:hAnsi="Times New Roman" w:cs="Times New Roman"/>
                <w:i/>
                <w:sz w:val="20"/>
                <w:szCs w:val="20"/>
              </w:rPr>
              <w:t xml:space="preserve">, </w:t>
            </w:r>
            <w:r w:rsidRPr="00785D8B">
              <w:rPr>
                <w:rFonts w:ascii="Times New Roman" w:hAnsi="Times New Roman" w:cs="Times New Roman"/>
                <w:sz w:val="20"/>
                <w:szCs w:val="20"/>
              </w:rPr>
              <w:t>the UE monitors the (</w:t>
            </w:r>
            <w:proofErr w:type="spellStart"/>
            <w:r w:rsidRPr="00785D8B">
              <w:rPr>
                <w:rFonts w:ascii="Times New Roman" w:hAnsi="Times New Roman" w:cs="Times New Roman"/>
                <w:sz w:val="20"/>
                <w:szCs w:val="20"/>
              </w:rPr>
              <w:t>i_s</w:t>
            </w:r>
            <w:proofErr w:type="spellEnd"/>
            <w:r w:rsidRPr="00785D8B">
              <w:rPr>
                <w:rFonts w:ascii="Times New Roman" w:hAnsi="Times New Roman" w:cs="Times New Roman"/>
                <w:sz w:val="20"/>
                <w:szCs w:val="20"/>
              </w:rPr>
              <w:t xml:space="preserve"> + </w:t>
            </w:r>
            <w:proofErr w:type="gramStart"/>
            <w:r w:rsidRPr="00785D8B">
              <w:rPr>
                <w:rFonts w:ascii="Times New Roman" w:hAnsi="Times New Roman" w:cs="Times New Roman"/>
                <w:sz w:val="20"/>
                <w:szCs w:val="20"/>
              </w:rPr>
              <w:t>1)</w:t>
            </w:r>
            <w:proofErr w:type="spellStart"/>
            <w:r w:rsidRPr="00785D8B">
              <w:rPr>
                <w:rFonts w:ascii="Times New Roman" w:hAnsi="Times New Roman" w:cs="Times New Roman"/>
                <w:sz w:val="20"/>
                <w:szCs w:val="20"/>
                <w:vertAlign w:val="superscript"/>
              </w:rPr>
              <w:t>th</w:t>
            </w:r>
            <w:proofErr w:type="spellEnd"/>
            <w:proofErr w:type="gramEnd"/>
            <w:r w:rsidRPr="00785D8B">
              <w:rPr>
                <w:rFonts w:ascii="Times New Roman" w:hAnsi="Times New Roman" w:cs="Times New Roman"/>
                <w:sz w:val="20"/>
                <w:szCs w:val="20"/>
              </w:rPr>
              <w:t xml:space="preserve"> PO.</w:t>
            </w:r>
            <w:r w:rsidRPr="00785D8B">
              <w:rPr>
                <w:rFonts w:ascii="Times New Roman" w:hAnsi="Times New Roman" w:cs="Times New Roman"/>
                <w:sz w:val="20"/>
                <w:szCs w:val="20"/>
                <w:lang w:eastAsia="ko-KR"/>
              </w:rPr>
              <w:t xml:space="preserve"> A</w:t>
            </w:r>
            <w:r w:rsidRPr="00785D8B">
              <w:rPr>
                <w:rFonts w:ascii="Times New Roman" w:hAnsi="Times New Roman" w:cs="Times New Roman"/>
                <w:sz w:val="20"/>
                <w:szCs w:val="20"/>
              </w:rPr>
              <w:t xml:space="preserve"> PO </w:t>
            </w:r>
            <w:r w:rsidRPr="00785D8B">
              <w:rPr>
                <w:rFonts w:ascii="Times New Roman" w:hAnsi="Times New Roman" w:cs="Times New Roman"/>
                <w:sz w:val="20"/>
                <w:szCs w:val="20"/>
                <w:lang w:eastAsia="ko-KR"/>
              </w:rPr>
              <w:t>is a set of '</w:t>
            </w:r>
            <w:proofErr w:type="gramStart"/>
            <w:r w:rsidRPr="00785D8B">
              <w:rPr>
                <w:rFonts w:ascii="Times New Roman" w:hAnsi="Times New Roman" w:cs="Times New Roman"/>
                <w:sz w:val="20"/>
                <w:szCs w:val="20"/>
                <w:lang w:eastAsia="ko-KR"/>
              </w:rPr>
              <w:t>S</w:t>
            </w:r>
            <w:proofErr w:type="gramEnd"/>
            <w:r w:rsidRPr="00785D8B">
              <w:rPr>
                <w:rFonts w:ascii="Times New Roman" w:hAnsi="Times New Roman" w:cs="Times New Roman"/>
                <w:sz w:val="20"/>
                <w:szCs w:val="20"/>
                <w:lang w:eastAsia="ko-KR"/>
              </w:rPr>
              <w:t xml:space="preserve">' consecutive </w:t>
            </w:r>
            <w:r w:rsidRPr="00785D8B">
              <w:rPr>
                <w:rFonts w:ascii="Times New Roman" w:hAnsi="Times New Roman" w:cs="Times New Roman"/>
                <w:sz w:val="20"/>
                <w:szCs w:val="20"/>
              </w:rPr>
              <w:t>PDCCH monitoring occasion</w:t>
            </w:r>
            <w:r w:rsidRPr="00785D8B">
              <w:rPr>
                <w:rFonts w:ascii="Times New Roman" w:hAnsi="Times New Roman" w:cs="Times New Roman"/>
                <w:sz w:val="20"/>
                <w:szCs w:val="20"/>
                <w:lang w:eastAsia="ko-KR"/>
              </w:rPr>
              <w:t xml:space="preserve">s </w:t>
            </w:r>
            <w:r w:rsidRPr="00785D8B">
              <w:rPr>
                <w:rFonts w:ascii="Times New Roman" w:hAnsi="Times New Roman" w:cs="Times New Roman"/>
                <w:sz w:val="20"/>
                <w:szCs w:val="20"/>
              </w:rPr>
              <w:t>where</w:t>
            </w:r>
            <w:r w:rsidRPr="00785D8B">
              <w:rPr>
                <w:rFonts w:ascii="Times New Roman" w:hAnsi="Times New Roman" w:cs="Times New Roman"/>
                <w:sz w:val="20"/>
                <w:szCs w:val="20"/>
                <w:lang w:eastAsia="ko-KR"/>
              </w:rPr>
              <w:t xml:space="preserve"> 'S'</w:t>
            </w:r>
            <w:r w:rsidRPr="00785D8B">
              <w:rPr>
                <w:rFonts w:ascii="Times New Roman" w:hAnsi="Times New Roman" w:cs="Times New Roman"/>
                <w:sz w:val="20"/>
                <w:szCs w:val="20"/>
              </w:rPr>
              <w:t xml:space="preserve"> is the number of actual transmitted SSBs determined according to </w:t>
            </w:r>
            <w:r w:rsidRPr="00785D8B">
              <w:rPr>
                <w:rFonts w:ascii="Times New Roman" w:hAnsi="Times New Roman" w:cs="Times New Roman"/>
                <w:i/>
                <w:sz w:val="20"/>
                <w:szCs w:val="20"/>
              </w:rPr>
              <w:t>ssb-PositionsInBurst</w:t>
            </w:r>
            <w:r w:rsidRPr="00785D8B">
              <w:rPr>
                <w:rFonts w:ascii="Times New Roman" w:hAnsi="Times New Roman" w:cs="Times New Roman"/>
                <w:sz w:val="20"/>
                <w:szCs w:val="20"/>
              </w:rPr>
              <w:t xml:space="preserve"> in</w:t>
            </w:r>
            <w:r w:rsidRPr="00785D8B">
              <w:rPr>
                <w:rFonts w:ascii="Times New Roman" w:hAnsi="Times New Roman" w:cs="Times New Roman"/>
                <w:i/>
                <w:sz w:val="20"/>
                <w:szCs w:val="20"/>
              </w:rPr>
              <w:t xml:space="preserve"> SIB1</w:t>
            </w:r>
            <w:r w:rsidRPr="00785D8B">
              <w:rPr>
                <w:rFonts w:ascii="Times New Roman" w:hAnsi="Times New Roman" w:cs="Times New Roman"/>
                <w:sz w:val="20"/>
                <w:szCs w:val="20"/>
                <w:lang w:eastAsia="ko-KR"/>
              </w:rPr>
              <w:t>. The</w:t>
            </w:r>
            <w:r w:rsidRPr="00785D8B">
              <w:rPr>
                <w:rFonts w:ascii="Times New Roman" w:hAnsi="Times New Roman" w:cs="Times New Roman"/>
                <w:sz w:val="20"/>
                <w:szCs w:val="20"/>
              </w:rPr>
              <w:t xml:space="preserve"> K</w:t>
            </w:r>
            <w:r w:rsidRPr="00785D8B">
              <w:rPr>
                <w:rFonts w:ascii="Times New Roman" w:hAnsi="Times New Roman" w:cs="Times New Roman"/>
                <w:sz w:val="20"/>
                <w:szCs w:val="20"/>
                <w:vertAlign w:val="superscript"/>
              </w:rPr>
              <w:t>th</w:t>
            </w:r>
            <w:r w:rsidRPr="00785D8B">
              <w:rPr>
                <w:rFonts w:ascii="Times New Roman" w:hAnsi="Times New Roman" w:cs="Times New Roman"/>
                <w:sz w:val="20"/>
                <w:szCs w:val="20"/>
              </w:rPr>
              <w:t xml:space="preserve"> </w:t>
            </w:r>
            <w:r w:rsidRPr="00785D8B">
              <w:rPr>
                <w:rFonts w:ascii="Times New Roman" w:hAnsi="Times New Roman" w:cs="Times New Roman"/>
                <w:sz w:val="20"/>
                <w:szCs w:val="20"/>
                <w:lang w:eastAsia="ko-KR"/>
              </w:rPr>
              <w:t xml:space="preserve">PDCCH </w:t>
            </w:r>
            <w:r w:rsidRPr="00785D8B">
              <w:rPr>
                <w:rFonts w:ascii="Times New Roman" w:hAnsi="Times New Roman" w:cs="Times New Roman"/>
                <w:sz w:val="20"/>
                <w:szCs w:val="20"/>
              </w:rPr>
              <w:t xml:space="preserve">monitoring occasion </w:t>
            </w:r>
            <w:r w:rsidRPr="00785D8B">
              <w:rPr>
                <w:rFonts w:ascii="Times New Roman" w:hAnsi="Times New Roman" w:cs="Times New Roman"/>
                <w:sz w:val="20"/>
                <w:szCs w:val="20"/>
                <w:lang w:eastAsia="ko-KR"/>
              </w:rPr>
              <w:t xml:space="preserve">for paging </w:t>
            </w:r>
            <w:r w:rsidRPr="00785D8B">
              <w:rPr>
                <w:rFonts w:ascii="Times New Roman" w:hAnsi="Times New Roman" w:cs="Times New Roman"/>
                <w:sz w:val="20"/>
                <w:szCs w:val="20"/>
              </w:rPr>
              <w:t>in the PO correspond</w:t>
            </w:r>
            <w:r w:rsidRPr="00785D8B">
              <w:rPr>
                <w:rFonts w:ascii="Times New Roman" w:hAnsi="Times New Roman" w:cs="Times New Roman"/>
                <w:sz w:val="20"/>
                <w:szCs w:val="20"/>
                <w:lang w:eastAsia="ko-KR"/>
              </w:rPr>
              <w:t>s</w:t>
            </w:r>
            <w:r w:rsidRPr="00785D8B">
              <w:rPr>
                <w:rFonts w:ascii="Times New Roman" w:hAnsi="Times New Roman" w:cs="Times New Roman"/>
                <w:sz w:val="20"/>
                <w:szCs w:val="20"/>
              </w:rPr>
              <w:t xml:space="preserve"> to the K</w:t>
            </w:r>
            <w:r w:rsidRPr="00785D8B">
              <w:rPr>
                <w:rFonts w:ascii="Times New Roman" w:hAnsi="Times New Roman" w:cs="Times New Roman"/>
                <w:sz w:val="20"/>
                <w:szCs w:val="20"/>
                <w:vertAlign w:val="superscript"/>
                <w:lang w:eastAsia="ko-KR"/>
              </w:rPr>
              <w:t>th</w:t>
            </w:r>
            <w:r w:rsidRPr="00785D8B">
              <w:rPr>
                <w:rFonts w:ascii="Times New Roman" w:hAnsi="Times New Roman" w:cs="Times New Roman"/>
                <w:sz w:val="20"/>
                <w:szCs w:val="20"/>
                <w:lang w:eastAsia="ko-KR"/>
              </w:rPr>
              <w:t xml:space="preserve"> </w:t>
            </w:r>
            <w:r w:rsidRPr="00785D8B">
              <w:rPr>
                <w:rFonts w:ascii="Times New Roman" w:hAnsi="Times New Roman" w:cs="Times New Roman"/>
                <w:sz w:val="20"/>
                <w:szCs w:val="20"/>
              </w:rPr>
              <w:t>transmitted SSB</w:t>
            </w:r>
            <w:r w:rsidRPr="00785D8B">
              <w:rPr>
                <w:rFonts w:ascii="Times New Roman" w:hAnsi="Times New Roman" w:cs="Times New Roman"/>
                <w:sz w:val="20"/>
                <w:szCs w:val="20"/>
                <w:lang w:eastAsia="ko-KR"/>
              </w:rPr>
              <w:t>.</w:t>
            </w:r>
          </w:p>
        </w:tc>
      </w:tr>
    </w:tbl>
    <w:p w14:paraId="33BA5964" w14:textId="14942802" w:rsidR="007B313A" w:rsidRDefault="007B313A" w:rsidP="008221EC">
      <w:pPr>
        <w:pStyle w:val="BodyText"/>
        <w:rPr>
          <w:lang w:val="en-GB"/>
        </w:rPr>
      </w:pPr>
    </w:p>
    <w:p w14:paraId="78E8C32A" w14:textId="3BC76590" w:rsidR="008E3FE2" w:rsidRDefault="008E3FE2" w:rsidP="008221EC">
      <w:pPr>
        <w:pStyle w:val="BodyText"/>
        <w:rPr>
          <w:lang w:val="en-GB"/>
        </w:rPr>
      </w:pPr>
      <w:r>
        <w:rPr>
          <w:lang w:val="en-GB"/>
        </w:rPr>
        <w:t>Also for these procedures the SS/PBCH block index (alternatively SSB index) should be defined as modulo(</w:t>
      </w:r>
      <w:proofErr w:type="gramStart"/>
      <w:r>
        <w:rPr>
          <w:lang w:val="en-GB"/>
        </w:rPr>
        <w:t>A,Q</w:t>
      </w:r>
      <w:proofErr w:type="gramEnd"/>
      <w:r>
        <w:rPr>
          <w:lang w:val="en-GB"/>
        </w:rPr>
        <w:t>). However, these procedures are define</w:t>
      </w:r>
      <w:r w:rsidR="00A86379">
        <w:rPr>
          <w:lang w:val="en-GB"/>
        </w:rPr>
        <w:t>d</w:t>
      </w:r>
      <w:r>
        <w:rPr>
          <w:lang w:val="en-GB"/>
        </w:rPr>
        <w:t xml:space="preserve"> by RAN2 and thus we propose to send </w:t>
      </w:r>
      <w:proofErr w:type="gramStart"/>
      <w:r>
        <w:rPr>
          <w:lang w:val="en-GB"/>
        </w:rPr>
        <w:t>an</w:t>
      </w:r>
      <w:proofErr w:type="gramEnd"/>
      <w:r>
        <w:rPr>
          <w:lang w:val="en-GB"/>
        </w:rPr>
        <w:t xml:space="preserve"> LS to RAN2 informing them of the SS/PBCH block definition for operation with shared channel access and asking them to modify the above procedures as they see fit.</w:t>
      </w:r>
    </w:p>
    <w:p w14:paraId="696097D0" w14:textId="594A6F63" w:rsidR="00791980" w:rsidRDefault="00A86379" w:rsidP="00ED20EF">
      <w:pPr>
        <w:pStyle w:val="Proposal"/>
      </w:pPr>
      <w:bookmarkStart w:id="25" w:name="_Toc24104655"/>
      <w:r>
        <w:rPr>
          <w:lang w:val="en-GB"/>
        </w:rPr>
        <w:t xml:space="preserve">Send </w:t>
      </w:r>
      <w:proofErr w:type="gramStart"/>
      <w:r>
        <w:rPr>
          <w:lang w:val="en-GB"/>
        </w:rPr>
        <w:t>an</w:t>
      </w:r>
      <w:proofErr w:type="gramEnd"/>
      <w:r>
        <w:rPr>
          <w:lang w:val="en-GB"/>
        </w:rPr>
        <w:t xml:space="preserve"> LS to RAN2 informing them of the SS/PBCH block </w:t>
      </w:r>
      <w:r w:rsidR="00A81360">
        <w:rPr>
          <w:lang w:val="en-GB"/>
        </w:rPr>
        <w:t xml:space="preserve">index </w:t>
      </w:r>
      <w:r>
        <w:rPr>
          <w:lang w:val="en-GB"/>
        </w:rPr>
        <w:t>definition for operation with shared channel access and asking them to modify the procedures for SI message and paging reception appropriately.</w:t>
      </w:r>
      <w:bookmarkEnd w:id="25"/>
    </w:p>
    <w:p w14:paraId="6133404A" w14:textId="1E852C4D" w:rsidR="00135916" w:rsidRDefault="00135916" w:rsidP="00135916">
      <w:pPr>
        <w:pStyle w:val="Heading2"/>
      </w:pPr>
      <w:r>
        <w:t xml:space="preserve">4.2 </w:t>
      </w:r>
      <w:r w:rsidR="001C11FA">
        <w:t>R</w:t>
      </w:r>
      <w:r w:rsidRPr="00135916">
        <w:t>eception restrictions</w:t>
      </w:r>
    </w:p>
    <w:p w14:paraId="6D44AEC7" w14:textId="290E368E" w:rsidR="00615C21" w:rsidRDefault="00791980" w:rsidP="00135916">
      <w:pPr>
        <w:pStyle w:val="BodyText"/>
        <w:rPr>
          <w:lang w:val="en-GB"/>
        </w:rPr>
      </w:pPr>
      <w:r>
        <w:t xml:space="preserve">Next, we turn to the </w:t>
      </w:r>
      <w:r w:rsidR="007810F1">
        <w:rPr>
          <w:lang w:val="en-GB"/>
        </w:rPr>
        <w:t>reception restrictions</w:t>
      </w:r>
      <w:r w:rsidR="00615C21">
        <w:rPr>
          <w:lang w:val="en-GB"/>
        </w:rPr>
        <w:t xml:space="preserve"> cases </w:t>
      </w:r>
      <w:r w:rsidR="00473C75">
        <w:rPr>
          <w:lang w:val="en-GB"/>
        </w:rPr>
        <w:t>of</w:t>
      </w:r>
      <w:r w:rsidR="00615C21">
        <w:rPr>
          <w:lang w:val="en-GB"/>
        </w:rPr>
        <w:t xml:space="preserve"> 2) above. </w:t>
      </w:r>
      <w:r w:rsidR="00135916">
        <w:rPr>
          <w:lang w:val="en-GB"/>
        </w:rPr>
        <w:t>For these cases the “beam index” interpretation of the Rel-15 SS/PBCH block index is not relevant, but rather it is the time location of the transmitted SS/PBCH block that matters.</w:t>
      </w:r>
    </w:p>
    <w:p w14:paraId="5A4978BE" w14:textId="1DEFBD3A" w:rsidR="00615C21" w:rsidRPr="00ED20EF" w:rsidRDefault="00615C21" w:rsidP="00321409">
      <w:pPr>
        <w:pStyle w:val="BodyText"/>
        <w:rPr>
          <w:lang w:val="en-GB"/>
        </w:rPr>
      </w:pPr>
    </w:p>
    <w:p w14:paraId="22BCE85A" w14:textId="77777777" w:rsidR="00791980" w:rsidRPr="00ED20EF" w:rsidRDefault="00791980" w:rsidP="00321409">
      <w:pPr>
        <w:pStyle w:val="BodyText"/>
        <w:rPr>
          <w:b/>
        </w:rPr>
      </w:pPr>
      <w:r w:rsidRPr="00ED20EF">
        <w:rPr>
          <w:b/>
        </w:rPr>
        <w:t>UE procedure for receiving control information (2a)</w:t>
      </w:r>
    </w:p>
    <w:p w14:paraId="68A8E2F9" w14:textId="50686CCE" w:rsidR="00791980" w:rsidRDefault="00791980" w:rsidP="00321409">
      <w:pPr>
        <w:pStyle w:val="BodyText"/>
        <w:rPr>
          <w:lang w:val="en-GB"/>
        </w:rPr>
      </w:pPr>
      <w:r>
        <w:t xml:space="preserve">The procedure is basically </w:t>
      </w:r>
      <w:r>
        <w:rPr>
          <w:lang w:val="en-GB"/>
        </w:rPr>
        <w:t>described by the following paragraph in §10 38.213:</w:t>
      </w:r>
    </w:p>
    <w:tbl>
      <w:tblPr>
        <w:tblStyle w:val="TableGrid"/>
        <w:tblW w:w="0" w:type="auto"/>
        <w:tblLook w:val="04A0" w:firstRow="1" w:lastRow="0" w:firstColumn="1" w:lastColumn="0" w:noHBand="0" w:noVBand="1"/>
      </w:tblPr>
      <w:tblGrid>
        <w:gridCol w:w="9629"/>
      </w:tblGrid>
      <w:tr w:rsidR="007B313A" w14:paraId="5E431771" w14:textId="77777777" w:rsidTr="007B313A">
        <w:tc>
          <w:tcPr>
            <w:tcW w:w="9629" w:type="dxa"/>
          </w:tcPr>
          <w:p w14:paraId="05A1F078" w14:textId="77777777" w:rsidR="007B313A" w:rsidRPr="00791980" w:rsidRDefault="007B313A" w:rsidP="007B313A">
            <w:pPr>
              <w:spacing w:after="180" w:line="240" w:lineRule="auto"/>
              <w:jc w:val="both"/>
              <w:rPr>
                <w:rFonts w:ascii="Times New Roman" w:eastAsia="Times New Roman" w:hAnsi="Times New Roman" w:cs="Times New Roman"/>
                <w:sz w:val="20"/>
                <w:szCs w:val="20"/>
                <w:lang w:val="en-GB"/>
              </w:rPr>
            </w:pPr>
            <w:r w:rsidRPr="00791980">
              <w:rPr>
                <w:rFonts w:ascii="Times New Roman" w:eastAsia="Times New Roman" w:hAnsi="Times New Roman" w:cs="Times New Roman"/>
                <w:sz w:val="20"/>
                <w:szCs w:val="20"/>
                <w:lang w:val="en-GB"/>
              </w:rPr>
              <w:t>For monitoring of a PDCCH candidate in a slot</w:t>
            </w:r>
          </w:p>
          <w:p w14:paraId="3092E225" w14:textId="77777777" w:rsidR="007B313A" w:rsidRPr="00785D8B" w:rsidRDefault="007B313A" w:rsidP="007B313A">
            <w:pPr>
              <w:spacing w:after="180" w:line="240" w:lineRule="auto"/>
              <w:ind w:left="568" w:hanging="284"/>
              <w:rPr>
                <w:rFonts w:ascii="Times New Roman" w:eastAsia="Times New Roman" w:hAnsi="Times New Roman" w:cs="Times New Roman"/>
                <w:sz w:val="20"/>
                <w:szCs w:val="20"/>
                <w:lang w:eastAsia="zh-CN"/>
              </w:rPr>
            </w:pPr>
            <w:r w:rsidRPr="00785D8B">
              <w:rPr>
                <w:rFonts w:ascii="Times New Roman" w:eastAsia="Times New Roman" w:hAnsi="Times New Roman" w:cs="Times New Roman"/>
                <w:sz w:val="20"/>
                <w:szCs w:val="20"/>
                <w:lang w:val="x-none"/>
              </w:rPr>
              <w:t>-</w:t>
            </w:r>
            <w:r w:rsidRPr="00785D8B">
              <w:rPr>
                <w:rFonts w:ascii="Times New Roman" w:eastAsia="Times New Roman" w:hAnsi="Times New Roman" w:cs="Times New Roman"/>
                <w:sz w:val="20"/>
                <w:szCs w:val="20"/>
                <w:lang w:val="x-none"/>
              </w:rPr>
              <w:tab/>
              <w:t xml:space="preserve">If the UE has received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sz w:val="20"/>
                <w:szCs w:val="20"/>
                <w:lang w:val="x-none"/>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rPr>
              <w:t>SIB1</w:t>
            </w:r>
            <w:r w:rsidRPr="00785D8B">
              <w:rPr>
                <w:rFonts w:ascii="Times New Roman" w:eastAsia="Times New Roman" w:hAnsi="Times New Roman" w:cs="Times New Roman"/>
                <w:sz w:val="20"/>
                <w:szCs w:val="20"/>
                <w:lang w:val="en-GB"/>
              </w:rPr>
              <w:t xml:space="preserve"> </w:t>
            </w:r>
            <w:r w:rsidRPr="00785D8B">
              <w:rPr>
                <w:rFonts w:ascii="Times New Roman" w:eastAsia="Times New Roman" w:hAnsi="Times New Roman" w:cs="Times New Roman"/>
                <w:sz w:val="20"/>
                <w:szCs w:val="20"/>
                <w:lang w:val="x-none"/>
              </w:rPr>
              <w:t xml:space="preserve">and has not received </w:t>
            </w:r>
            <w:bookmarkStart w:id="26" w:name="_Hlk493885951"/>
            <w:r w:rsidRPr="00785D8B">
              <w:rPr>
                <w:rFonts w:ascii="Times New Roman" w:eastAsia="Times New Roman" w:hAnsi="Times New Roman" w:cs="Times New Roman"/>
                <w:i/>
                <w:sz w:val="20"/>
                <w:szCs w:val="20"/>
                <w:lang w:val="x-none"/>
              </w:rPr>
              <w:t>ssb-PositionsInBurst</w:t>
            </w:r>
            <w:bookmarkEnd w:id="26"/>
            <w:r w:rsidRPr="00785D8B">
              <w:rPr>
                <w:rFonts w:ascii="Times New Roman" w:eastAsia="Times New Roman" w:hAnsi="Times New Roman" w:cs="Times New Roman"/>
                <w:sz w:val="20"/>
                <w:szCs w:val="20"/>
                <w:lang w:val="x-none"/>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lang w:val="x-none"/>
              </w:rPr>
              <w:t>ServingCellConfigCommon</w:t>
            </w:r>
            <w:r w:rsidRPr="00785D8B">
              <w:rPr>
                <w:rFonts w:ascii="Times New Roman" w:eastAsia="Times New Roman" w:hAnsi="Times New Roman" w:cs="Times New Roman"/>
                <w:sz w:val="20"/>
                <w:szCs w:val="20"/>
              </w:rPr>
              <w:t xml:space="preserve"> </w:t>
            </w:r>
            <w:r w:rsidRPr="00785D8B">
              <w:rPr>
                <w:rFonts w:ascii="Times New Roman" w:eastAsia="Times New Roman" w:hAnsi="Times New Roman" w:cs="Times New Roman"/>
                <w:sz w:val="20"/>
                <w:szCs w:val="20"/>
                <w:lang w:val="x-none"/>
              </w:rPr>
              <w:t xml:space="preserve">for </w:t>
            </w:r>
            <w:r w:rsidRPr="00785D8B">
              <w:rPr>
                <w:rFonts w:ascii="Times New Roman" w:eastAsia="Times New Roman" w:hAnsi="Times New Roman" w:cs="Times New Roman"/>
                <w:sz w:val="20"/>
                <w:szCs w:val="20"/>
              </w:rPr>
              <w:t>a</w:t>
            </w:r>
            <w:r w:rsidRPr="00785D8B">
              <w:rPr>
                <w:rFonts w:ascii="Times New Roman" w:eastAsia="Times New Roman" w:hAnsi="Times New Roman" w:cs="Times New Roman"/>
                <w:sz w:val="20"/>
                <w:szCs w:val="20"/>
                <w:lang w:val="x-none"/>
              </w:rPr>
              <w:t xml:space="preserve"> serving cell and if</w:t>
            </w:r>
            <w:r w:rsidRPr="00785D8B">
              <w:rPr>
                <w:rFonts w:ascii="Times New Roman" w:eastAsia="Times New Roman" w:hAnsi="Times New Roman" w:cs="Times New Roman"/>
                <w:sz w:val="20"/>
                <w:szCs w:val="20"/>
                <w:lang w:val="x-none" w:eastAsia="zh-CN"/>
              </w:rPr>
              <w:t xml:space="preserve"> </w:t>
            </w:r>
            <w:r w:rsidRPr="00785D8B">
              <w:rPr>
                <w:rFonts w:ascii="Times New Roman" w:eastAsia="Times New Roman" w:hAnsi="Times New Roman" w:cs="Times New Roman"/>
                <w:sz w:val="20"/>
                <w:szCs w:val="20"/>
                <w:lang w:eastAsia="zh-CN"/>
              </w:rPr>
              <w:t xml:space="preserve">the UE does not monitor PDCCH candidates in a Type0-PDCCH CSS set and at least one </w:t>
            </w:r>
            <w:r w:rsidRPr="00785D8B">
              <w:rPr>
                <w:rFonts w:ascii="Times New Roman" w:eastAsia="Times New Roman" w:hAnsi="Times New Roman" w:cs="Times New Roman"/>
                <w:sz w:val="20"/>
                <w:szCs w:val="20"/>
                <w:lang w:val="x-none" w:eastAsia="zh-CN"/>
              </w:rPr>
              <w:t>RE for a PDCCH candidate overlap</w:t>
            </w:r>
            <w:r w:rsidRPr="00785D8B">
              <w:rPr>
                <w:rFonts w:ascii="Times New Roman" w:eastAsia="Times New Roman" w:hAnsi="Times New Roman" w:cs="Times New Roman"/>
                <w:sz w:val="20"/>
                <w:szCs w:val="20"/>
                <w:lang w:eastAsia="zh-CN"/>
              </w:rPr>
              <w:t>s</w:t>
            </w:r>
            <w:r w:rsidRPr="00785D8B">
              <w:rPr>
                <w:rFonts w:ascii="Times New Roman" w:eastAsia="Times New Roman" w:hAnsi="Times New Roman" w:cs="Times New Roman"/>
                <w:sz w:val="20"/>
                <w:szCs w:val="20"/>
                <w:lang w:val="x-none" w:eastAsia="zh-CN"/>
              </w:rPr>
              <w:t xml:space="preserve"> with </w:t>
            </w:r>
            <w:r w:rsidRPr="00785D8B">
              <w:rPr>
                <w:rFonts w:ascii="Times New Roman" w:eastAsia="Times New Roman" w:hAnsi="Times New Roman" w:cs="Times New Roman"/>
                <w:sz w:val="20"/>
                <w:szCs w:val="20"/>
                <w:lang w:eastAsia="zh-CN"/>
              </w:rPr>
              <w:t xml:space="preserve">at least one </w:t>
            </w:r>
            <w:r w:rsidRPr="00785D8B">
              <w:rPr>
                <w:rFonts w:ascii="Times New Roman" w:eastAsia="Times New Roman" w:hAnsi="Times New Roman" w:cs="Times New Roman"/>
                <w:sz w:val="20"/>
                <w:szCs w:val="20"/>
                <w:lang w:val="x-none" w:eastAsia="zh-CN"/>
              </w:rPr>
              <w:t xml:space="preserve">RE corresponding to a SS/PBCH block index provided by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sz w:val="20"/>
                <w:szCs w:val="20"/>
                <w:lang w:val="x-none"/>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rPr>
              <w:t>SIB1</w:t>
            </w:r>
            <w:r w:rsidRPr="00785D8B">
              <w:rPr>
                <w:rFonts w:ascii="Times New Roman" w:eastAsia="Times New Roman" w:hAnsi="Times New Roman" w:cs="Times New Roman"/>
                <w:sz w:val="20"/>
                <w:szCs w:val="20"/>
                <w:lang w:val="x-none" w:eastAsia="zh-CN"/>
              </w:rPr>
              <w:t>, the UE is not required to monitor the PDCCH candidate.</w:t>
            </w:r>
          </w:p>
          <w:p w14:paraId="7A3F022B" w14:textId="0AFF2887" w:rsidR="007B313A" w:rsidRDefault="007B313A" w:rsidP="00ED20EF">
            <w:pPr>
              <w:spacing w:after="180" w:line="240" w:lineRule="auto"/>
              <w:ind w:left="568" w:hanging="284"/>
            </w:pPr>
            <w:r w:rsidRPr="00785D8B">
              <w:rPr>
                <w:rFonts w:ascii="Times New Roman" w:eastAsia="Times New Roman" w:hAnsi="Times New Roman" w:cs="Times New Roman"/>
                <w:sz w:val="20"/>
                <w:szCs w:val="20"/>
                <w:lang w:val="x-none"/>
              </w:rPr>
              <w:t>-</w:t>
            </w:r>
            <w:r w:rsidRPr="00785D8B">
              <w:rPr>
                <w:rFonts w:ascii="Times New Roman" w:eastAsia="Times New Roman" w:hAnsi="Times New Roman" w:cs="Times New Roman"/>
                <w:sz w:val="20"/>
                <w:szCs w:val="20"/>
                <w:lang w:val="x-none"/>
              </w:rPr>
              <w:tab/>
              <w:t xml:space="preserve">If a UE has received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sz w:val="20"/>
                <w:szCs w:val="20"/>
                <w:lang w:val="x-none"/>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lang w:val="x-none"/>
              </w:rPr>
              <w:t>ServingCellConfigCommon</w:t>
            </w:r>
            <w:r w:rsidRPr="00785D8B">
              <w:rPr>
                <w:rFonts w:ascii="Times New Roman" w:eastAsia="Times New Roman" w:hAnsi="Times New Roman" w:cs="Times New Roman"/>
                <w:sz w:val="20"/>
                <w:szCs w:val="20"/>
              </w:rPr>
              <w:t xml:space="preserve"> </w:t>
            </w:r>
            <w:r w:rsidRPr="00785D8B">
              <w:rPr>
                <w:rFonts w:ascii="Times New Roman" w:eastAsia="Times New Roman" w:hAnsi="Times New Roman" w:cs="Times New Roman"/>
                <w:sz w:val="20"/>
                <w:szCs w:val="20"/>
                <w:lang w:val="x-none"/>
              </w:rPr>
              <w:t xml:space="preserve">for </w:t>
            </w:r>
            <w:r w:rsidRPr="00785D8B">
              <w:rPr>
                <w:rFonts w:ascii="Times New Roman" w:eastAsia="Times New Roman" w:hAnsi="Times New Roman" w:cs="Times New Roman"/>
                <w:sz w:val="20"/>
                <w:szCs w:val="20"/>
              </w:rPr>
              <w:t>a</w:t>
            </w:r>
            <w:r w:rsidRPr="00785D8B">
              <w:rPr>
                <w:rFonts w:ascii="Times New Roman" w:eastAsia="Times New Roman" w:hAnsi="Times New Roman" w:cs="Times New Roman"/>
                <w:sz w:val="20"/>
                <w:szCs w:val="20"/>
                <w:lang w:val="x-none"/>
              </w:rPr>
              <w:t xml:space="preserve"> serving cell and if</w:t>
            </w:r>
            <w:r w:rsidRPr="00785D8B">
              <w:rPr>
                <w:rFonts w:ascii="Times New Roman" w:eastAsia="Times New Roman" w:hAnsi="Times New Roman" w:cs="Times New Roman"/>
                <w:sz w:val="20"/>
                <w:szCs w:val="20"/>
                <w:lang w:val="x-none" w:eastAsia="zh-CN"/>
              </w:rPr>
              <w:t xml:space="preserve"> </w:t>
            </w:r>
            <w:r w:rsidRPr="00785D8B">
              <w:rPr>
                <w:rFonts w:ascii="Times New Roman" w:eastAsia="Times New Roman" w:hAnsi="Times New Roman" w:cs="Times New Roman"/>
                <w:sz w:val="20"/>
                <w:szCs w:val="20"/>
                <w:lang w:eastAsia="zh-CN"/>
              </w:rPr>
              <w:t xml:space="preserve">the UE does not monitor PDCCH candidates in a Type0-PDCCH CSS set and at least one </w:t>
            </w:r>
            <w:r w:rsidRPr="00785D8B">
              <w:rPr>
                <w:rFonts w:ascii="Times New Roman" w:eastAsia="Times New Roman" w:hAnsi="Times New Roman" w:cs="Times New Roman"/>
                <w:sz w:val="20"/>
                <w:szCs w:val="20"/>
                <w:lang w:val="x-none" w:eastAsia="zh-CN"/>
              </w:rPr>
              <w:t xml:space="preserve">RE for a PDCCH candidate </w:t>
            </w:r>
            <w:r w:rsidRPr="00785D8B">
              <w:rPr>
                <w:rFonts w:ascii="Times New Roman" w:eastAsia="Times New Roman" w:hAnsi="Times New Roman" w:cs="Times New Roman"/>
                <w:sz w:val="20"/>
                <w:szCs w:val="20"/>
                <w:lang w:val="x-none" w:eastAsia="zh-CN"/>
              </w:rPr>
              <w:lastRenderedPageBreak/>
              <w:t>overlap</w:t>
            </w:r>
            <w:r w:rsidRPr="00785D8B">
              <w:rPr>
                <w:rFonts w:ascii="Times New Roman" w:eastAsia="Times New Roman" w:hAnsi="Times New Roman" w:cs="Times New Roman"/>
                <w:sz w:val="20"/>
                <w:szCs w:val="20"/>
                <w:lang w:eastAsia="zh-CN"/>
              </w:rPr>
              <w:t>s</w:t>
            </w:r>
            <w:r w:rsidRPr="00785D8B">
              <w:rPr>
                <w:rFonts w:ascii="Times New Roman" w:eastAsia="Times New Roman" w:hAnsi="Times New Roman" w:cs="Times New Roman"/>
                <w:sz w:val="20"/>
                <w:szCs w:val="20"/>
                <w:lang w:val="x-none" w:eastAsia="zh-CN"/>
              </w:rPr>
              <w:t xml:space="preserve"> with </w:t>
            </w:r>
            <w:r w:rsidRPr="00785D8B">
              <w:rPr>
                <w:rFonts w:ascii="Times New Roman" w:eastAsia="Times New Roman" w:hAnsi="Times New Roman" w:cs="Times New Roman"/>
                <w:sz w:val="20"/>
                <w:szCs w:val="20"/>
                <w:lang w:eastAsia="zh-CN"/>
              </w:rPr>
              <w:t xml:space="preserve">at least one </w:t>
            </w:r>
            <w:r w:rsidRPr="00785D8B">
              <w:rPr>
                <w:rFonts w:ascii="Times New Roman" w:eastAsia="Times New Roman" w:hAnsi="Times New Roman" w:cs="Times New Roman"/>
                <w:sz w:val="20"/>
                <w:szCs w:val="20"/>
                <w:lang w:val="x-none" w:eastAsia="zh-CN"/>
              </w:rPr>
              <w:t xml:space="preserve">RE corresponding to a SS/PBCH block index provided by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iCs/>
                <w:sz w:val="20"/>
                <w:szCs w:val="20"/>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lang w:val="x-none"/>
              </w:rPr>
              <w:t>ServingCellConfigCommon</w:t>
            </w:r>
            <w:r w:rsidRPr="00785D8B">
              <w:rPr>
                <w:rFonts w:ascii="Times New Roman" w:eastAsia="Times New Roman" w:hAnsi="Times New Roman" w:cs="Times New Roman"/>
                <w:sz w:val="20"/>
                <w:szCs w:val="20"/>
                <w:lang w:val="x-none" w:eastAsia="zh-CN"/>
              </w:rPr>
              <w:t>, the UE is not required to monitor the PDCCH candidate.</w:t>
            </w:r>
          </w:p>
        </w:tc>
      </w:tr>
    </w:tbl>
    <w:p w14:paraId="512303CF" w14:textId="77777777" w:rsidR="007B313A" w:rsidRDefault="007B313A" w:rsidP="00321409">
      <w:pPr>
        <w:pStyle w:val="BodyText"/>
      </w:pPr>
    </w:p>
    <w:p w14:paraId="5C4B0266" w14:textId="4AD0039B" w:rsidR="00135916" w:rsidRDefault="00791980" w:rsidP="00321409">
      <w:pPr>
        <w:pStyle w:val="BodyText"/>
      </w:pPr>
      <w:r>
        <w:t xml:space="preserve">The above clause basically </w:t>
      </w:r>
      <w:r w:rsidR="00CE7E28">
        <w:t>say</w:t>
      </w:r>
      <w:r w:rsidR="00DE3EB7">
        <w:t>s</w:t>
      </w:r>
      <w:r>
        <w:t xml:space="preserve"> that the UE is not required to monitor PDCCH (except for Type0-PDCCH)</w:t>
      </w:r>
      <w:r w:rsidR="00CE7E28">
        <w:t xml:space="preserve"> if the corresponding REs collide with an SS</w:t>
      </w:r>
      <w:r w:rsidR="00135916">
        <w:t>/PBCH block</w:t>
      </w:r>
      <w:r w:rsidR="00CE7E28">
        <w:t>. When the SS</w:t>
      </w:r>
      <w:r w:rsidR="00135916">
        <w:t>/PBCH blocks</w:t>
      </w:r>
      <w:r w:rsidR="00CE7E28">
        <w:t xml:space="preserve"> are allowed to shift </w:t>
      </w:r>
      <w:r w:rsidR="003C0B3C">
        <w:t xml:space="preserve">within the DRS window, </w:t>
      </w:r>
      <w:r w:rsidR="00CE7E28">
        <w:t xml:space="preserve">we still think it makes sense to retain the behavior that the UE is not required to monitor PDCCH for the set of </w:t>
      </w:r>
      <w:proofErr w:type="gramStart"/>
      <w:r w:rsidR="00135916" w:rsidRPr="00ED20EF">
        <w:rPr>
          <w:u w:val="single"/>
        </w:rPr>
        <w:t>candidate</w:t>
      </w:r>
      <w:proofErr w:type="gramEnd"/>
      <w:r w:rsidR="00135916" w:rsidRPr="00ED20EF">
        <w:rPr>
          <w:u w:val="single"/>
        </w:rPr>
        <w:t xml:space="preserve"> </w:t>
      </w:r>
      <w:r w:rsidR="00CE7E28" w:rsidRPr="00ED20EF">
        <w:rPr>
          <w:u w:val="single"/>
        </w:rPr>
        <w:t>SS</w:t>
      </w:r>
      <w:r w:rsidR="00135916" w:rsidRPr="00ED20EF">
        <w:rPr>
          <w:u w:val="single"/>
        </w:rPr>
        <w:t>/PBCH block</w:t>
      </w:r>
      <w:r w:rsidR="00CE7E28" w:rsidRPr="00ED20EF">
        <w:rPr>
          <w:u w:val="single"/>
        </w:rPr>
        <w:t xml:space="preserve"> position</w:t>
      </w:r>
      <w:r w:rsidR="001B17F2" w:rsidRPr="00ED20EF">
        <w:rPr>
          <w:u w:val="single"/>
        </w:rPr>
        <w:t>s</w:t>
      </w:r>
      <w:r w:rsidR="008C34B2">
        <w:t xml:space="preserve"> corresponding to ‘ones’ in ssb-PositionsInBurst</w:t>
      </w:r>
      <w:r w:rsidR="00CE7E28">
        <w:t xml:space="preserve">. </w:t>
      </w:r>
      <w:r w:rsidR="00211638">
        <w:t>That is</w:t>
      </w:r>
      <w:r w:rsidR="00EF7763">
        <w:t>,</w:t>
      </w:r>
      <w:r w:rsidR="00211638">
        <w:t xml:space="preserve"> the UE is only allowed to skip PDCCH monitoring in certain symbols in the beginning of the window. Other options would severely limit the gNBs ability to schedule the UE in the </w:t>
      </w:r>
      <w:r w:rsidR="00B0391B">
        <w:t xml:space="preserve">rest of the </w:t>
      </w:r>
      <w:r w:rsidR="00211638">
        <w:t>DRS transmission window.</w:t>
      </w:r>
    </w:p>
    <w:p w14:paraId="6DAB2B66" w14:textId="52B4D91C" w:rsidR="001B17F2" w:rsidRPr="00ED20EF" w:rsidRDefault="00135916" w:rsidP="001B17F2">
      <w:pPr>
        <w:pStyle w:val="BodyText"/>
      </w:pPr>
      <w:r>
        <w:t>The desired behavior is illustrated with the following example</w:t>
      </w:r>
      <w:r w:rsidR="001B17F2">
        <w:t>. For this example, we have used 30kHz SCS, a DRS transmission window of 5ms, Q=4 and ssb-PositionsInBurst equal to 10100000.</w:t>
      </w:r>
    </w:p>
    <w:p w14:paraId="5AACDF6A" w14:textId="077EBC0F" w:rsidR="001B17F2" w:rsidRDefault="001B17F2" w:rsidP="001B17F2">
      <w:pPr>
        <w:pStyle w:val="BodyText"/>
        <w:rPr>
          <w:lang w:val="en-GB"/>
        </w:rPr>
      </w:pPr>
      <w:r w:rsidRPr="001B17F2">
        <w:rPr>
          <w:noProof/>
        </w:rPr>
        <w:drawing>
          <wp:inline distT="0" distB="0" distL="0" distR="0" wp14:anchorId="63EA8FA9" wp14:editId="063F7642">
            <wp:extent cx="6100418" cy="555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20488" cy="566897"/>
                    </a:xfrm>
                    <a:prstGeom prst="rect">
                      <a:avLst/>
                    </a:prstGeom>
                    <a:noFill/>
                    <a:ln>
                      <a:noFill/>
                    </a:ln>
                  </pic:spPr>
                </pic:pic>
              </a:graphicData>
            </a:graphic>
          </wp:inline>
        </w:drawing>
      </w:r>
    </w:p>
    <w:p w14:paraId="4C8D34A9" w14:textId="77777777" w:rsidR="001B17F2" w:rsidRDefault="001B17F2" w:rsidP="00321409">
      <w:pPr>
        <w:pStyle w:val="BodyText"/>
        <w:rPr>
          <w:lang w:val="en-GB"/>
        </w:rPr>
      </w:pPr>
    </w:p>
    <w:p w14:paraId="1612A81E" w14:textId="737DA6FA" w:rsidR="00791980" w:rsidRDefault="00CE7E28" w:rsidP="00321409">
      <w:pPr>
        <w:pStyle w:val="BodyText"/>
      </w:pPr>
      <w:r>
        <w:t xml:space="preserve">We note that </w:t>
      </w:r>
      <w:r w:rsidR="002C2448">
        <w:t>to achieve this</w:t>
      </w:r>
      <w:r w:rsidR="001B17F2">
        <w:t xml:space="preserve"> behavior</w:t>
      </w:r>
      <w:r w:rsidR="002C2448">
        <w:t xml:space="preserve"> </w:t>
      </w:r>
      <w:r w:rsidR="00E673AD">
        <w:t>when</w:t>
      </w:r>
      <w:r w:rsidR="00DE3EB7">
        <w:t xml:space="preserve"> the</w:t>
      </w:r>
      <w:r>
        <w:t xml:space="preserve"> SS/PBCH block index </w:t>
      </w:r>
      <w:r w:rsidR="00675870">
        <w:t>i</w:t>
      </w:r>
      <w:r>
        <w:t>s defined as in</w:t>
      </w:r>
      <w:r w:rsidR="004E14D4">
        <w:t xml:space="preserve"> </w:t>
      </w:r>
      <w:r w:rsidR="004E14D4">
        <w:fldChar w:fldCharType="begin"/>
      </w:r>
      <w:r w:rsidR="004E14D4">
        <w:instrText xml:space="preserve"> REF _Ref23773047 \r \h </w:instrText>
      </w:r>
      <w:r w:rsidR="004E14D4">
        <w:fldChar w:fldCharType="separate"/>
      </w:r>
      <w:r w:rsidR="009200D5">
        <w:t>Proposal 8</w:t>
      </w:r>
      <w:r w:rsidR="004E14D4">
        <w:fldChar w:fldCharType="end"/>
      </w:r>
      <w:r w:rsidR="004E14D4">
        <w:t>, i.e. modulo(</w:t>
      </w:r>
      <w:proofErr w:type="gramStart"/>
      <w:r w:rsidR="004E14D4">
        <w:t>A,Q</w:t>
      </w:r>
      <w:proofErr w:type="gramEnd"/>
      <w:r w:rsidR="004E14D4">
        <w:t>)</w:t>
      </w:r>
      <w:r w:rsidR="00E673AD">
        <w:t>, t</w:t>
      </w:r>
      <w:r w:rsidR="002C2448">
        <w:t xml:space="preserve">he text above </w:t>
      </w:r>
      <w:r w:rsidR="00BF15CC">
        <w:t>c</w:t>
      </w:r>
      <w:r w:rsidR="002C2448">
        <w:t xml:space="preserve">ould </w:t>
      </w:r>
      <w:r w:rsidR="00BF15CC">
        <w:t xml:space="preserve">for example </w:t>
      </w:r>
      <w:r w:rsidR="002C2448">
        <w:t>be modified as:</w:t>
      </w:r>
    </w:p>
    <w:tbl>
      <w:tblPr>
        <w:tblStyle w:val="TableGrid"/>
        <w:tblW w:w="0" w:type="auto"/>
        <w:tblLook w:val="04A0" w:firstRow="1" w:lastRow="0" w:firstColumn="1" w:lastColumn="0" w:noHBand="0" w:noVBand="1"/>
      </w:tblPr>
      <w:tblGrid>
        <w:gridCol w:w="9629"/>
      </w:tblGrid>
      <w:tr w:rsidR="007B313A" w14:paraId="661E5A4C" w14:textId="77777777" w:rsidTr="007B313A">
        <w:tc>
          <w:tcPr>
            <w:tcW w:w="9629" w:type="dxa"/>
          </w:tcPr>
          <w:p w14:paraId="334B76C8" w14:textId="77777777" w:rsidR="007B313A" w:rsidRPr="00791980" w:rsidRDefault="007B313A" w:rsidP="007B313A">
            <w:pPr>
              <w:spacing w:after="180" w:line="240" w:lineRule="auto"/>
              <w:jc w:val="both"/>
              <w:rPr>
                <w:rFonts w:ascii="Times New Roman" w:eastAsia="Times New Roman" w:hAnsi="Times New Roman" w:cs="Times New Roman"/>
                <w:sz w:val="20"/>
                <w:szCs w:val="20"/>
                <w:lang w:val="en-GB"/>
              </w:rPr>
            </w:pPr>
            <w:r w:rsidRPr="00791980">
              <w:rPr>
                <w:rFonts w:ascii="Times New Roman" w:eastAsia="Times New Roman" w:hAnsi="Times New Roman" w:cs="Times New Roman"/>
                <w:sz w:val="20"/>
                <w:szCs w:val="20"/>
                <w:lang w:val="en-GB"/>
              </w:rPr>
              <w:t>For monitoring of a PDCCH candidate in a slot</w:t>
            </w:r>
          </w:p>
          <w:p w14:paraId="711898F7" w14:textId="77777777" w:rsidR="007B313A" w:rsidRPr="00785D8B" w:rsidRDefault="007B313A" w:rsidP="007B313A">
            <w:pPr>
              <w:spacing w:after="180" w:line="240" w:lineRule="auto"/>
              <w:ind w:left="568" w:hanging="284"/>
              <w:rPr>
                <w:rFonts w:ascii="Times New Roman" w:eastAsia="Times New Roman" w:hAnsi="Times New Roman" w:cs="Times New Roman"/>
                <w:sz w:val="20"/>
                <w:szCs w:val="20"/>
                <w:lang w:eastAsia="zh-CN"/>
              </w:rPr>
            </w:pPr>
            <w:r w:rsidRPr="00785D8B">
              <w:rPr>
                <w:rFonts w:ascii="Times New Roman" w:eastAsia="Times New Roman" w:hAnsi="Times New Roman" w:cs="Times New Roman"/>
                <w:sz w:val="20"/>
                <w:szCs w:val="20"/>
                <w:lang w:val="x-none"/>
              </w:rPr>
              <w:t>-</w:t>
            </w:r>
            <w:r w:rsidRPr="00785D8B">
              <w:rPr>
                <w:rFonts w:ascii="Times New Roman" w:eastAsia="Times New Roman" w:hAnsi="Times New Roman" w:cs="Times New Roman"/>
                <w:sz w:val="20"/>
                <w:szCs w:val="20"/>
                <w:lang w:val="x-none"/>
              </w:rPr>
              <w:tab/>
              <w:t xml:space="preserve">If the UE has received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sz w:val="20"/>
                <w:szCs w:val="20"/>
                <w:lang w:val="x-none"/>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rPr>
              <w:t>SIB1</w:t>
            </w:r>
            <w:r w:rsidRPr="00785D8B">
              <w:rPr>
                <w:rFonts w:ascii="Times New Roman" w:eastAsia="Times New Roman" w:hAnsi="Times New Roman" w:cs="Times New Roman"/>
                <w:sz w:val="20"/>
                <w:szCs w:val="20"/>
                <w:lang w:val="en-GB"/>
              </w:rPr>
              <w:t xml:space="preserve"> </w:t>
            </w:r>
            <w:r w:rsidRPr="00785D8B">
              <w:rPr>
                <w:rFonts w:ascii="Times New Roman" w:eastAsia="Times New Roman" w:hAnsi="Times New Roman" w:cs="Times New Roman"/>
                <w:sz w:val="20"/>
                <w:szCs w:val="20"/>
                <w:lang w:val="x-none"/>
              </w:rPr>
              <w:t xml:space="preserve">and has not received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sz w:val="20"/>
                <w:szCs w:val="20"/>
                <w:lang w:val="x-none"/>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lang w:val="x-none"/>
              </w:rPr>
              <w:t>ServingCellConfigCommon</w:t>
            </w:r>
            <w:r w:rsidRPr="00785D8B">
              <w:rPr>
                <w:rFonts w:ascii="Times New Roman" w:eastAsia="Times New Roman" w:hAnsi="Times New Roman" w:cs="Times New Roman"/>
                <w:sz w:val="20"/>
                <w:szCs w:val="20"/>
              </w:rPr>
              <w:t xml:space="preserve"> </w:t>
            </w:r>
            <w:r w:rsidRPr="00785D8B">
              <w:rPr>
                <w:rFonts w:ascii="Times New Roman" w:eastAsia="Times New Roman" w:hAnsi="Times New Roman" w:cs="Times New Roman"/>
                <w:sz w:val="20"/>
                <w:szCs w:val="20"/>
                <w:lang w:val="x-none"/>
              </w:rPr>
              <w:t xml:space="preserve">for </w:t>
            </w:r>
            <w:r w:rsidRPr="00785D8B">
              <w:rPr>
                <w:rFonts w:ascii="Times New Roman" w:eastAsia="Times New Roman" w:hAnsi="Times New Roman" w:cs="Times New Roman"/>
                <w:sz w:val="20"/>
                <w:szCs w:val="20"/>
              </w:rPr>
              <w:t>a</w:t>
            </w:r>
            <w:r w:rsidRPr="00785D8B">
              <w:rPr>
                <w:rFonts w:ascii="Times New Roman" w:eastAsia="Times New Roman" w:hAnsi="Times New Roman" w:cs="Times New Roman"/>
                <w:sz w:val="20"/>
                <w:szCs w:val="20"/>
                <w:lang w:val="x-none"/>
              </w:rPr>
              <w:t xml:space="preserve"> serving cell and if</w:t>
            </w:r>
            <w:r w:rsidRPr="00785D8B">
              <w:rPr>
                <w:rFonts w:ascii="Times New Roman" w:eastAsia="Times New Roman" w:hAnsi="Times New Roman" w:cs="Times New Roman"/>
                <w:sz w:val="20"/>
                <w:szCs w:val="20"/>
                <w:lang w:val="x-none" w:eastAsia="zh-CN"/>
              </w:rPr>
              <w:t xml:space="preserve"> </w:t>
            </w:r>
            <w:r w:rsidRPr="00785D8B">
              <w:rPr>
                <w:rFonts w:ascii="Times New Roman" w:eastAsia="Times New Roman" w:hAnsi="Times New Roman" w:cs="Times New Roman"/>
                <w:sz w:val="20"/>
                <w:szCs w:val="20"/>
                <w:lang w:eastAsia="zh-CN"/>
              </w:rPr>
              <w:t xml:space="preserve">the UE does not monitor PDCCH candidates in a Type0-PDCCH CSS set and at least one </w:t>
            </w:r>
            <w:r w:rsidRPr="00785D8B">
              <w:rPr>
                <w:rFonts w:ascii="Times New Roman" w:eastAsia="Times New Roman" w:hAnsi="Times New Roman" w:cs="Times New Roman"/>
                <w:sz w:val="20"/>
                <w:szCs w:val="20"/>
                <w:lang w:val="x-none" w:eastAsia="zh-CN"/>
              </w:rPr>
              <w:t>RE for a PDCCH candidate overlap</w:t>
            </w:r>
            <w:r w:rsidRPr="00785D8B">
              <w:rPr>
                <w:rFonts w:ascii="Times New Roman" w:eastAsia="Times New Roman" w:hAnsi="Times New Roman" w:cs="Times New Roman"/>
                <w:sz w:val="20"/>
                <w:szCs w:val="20"/>
                <w:lang w:eastAsia="zh-CN"/>
              </w:rPr>
              <w:t>s</w:t>
            </w:r>
            <w:r w:rsidRPr="00785D8B">
              <w:rPr>
                <w:rFonts w:ascii="Times New Roman" w:eastAsia="Times New Roman" w:hAnsi="Times New Roman" w:cs="Times New Roman"/>
                <w:sz w:val="20"/>
                <w:szCs w:val="20"/>
                <w:lang w:val="x-none" w:eastAsia="zh-CN"/>
              </w:rPr>
              <w:t xml:space="preserve"> with </w:t>
            </w:r>
            <w:r w:rsidRPr="00785D8B">
              <w:rPr>
                <w:rFonts w:ascii="Times New Roman" w:eastAsia="Times New Roman" w:hAnsi="Times New Roman" w:cs="Times New Roman"/>
                <w:sz w:val="20"/>
                <w:szCs w:val="20"/>
                <w:lang w:eastAsia="zh-CN"/>
              </w:rPr>
              <w:t xml:space="preserve">at least one </w:t>
            </w:r>
            <w:r w:rsidRPr="00785D8B">
              <w:rPr>
                <w:rFonts w:ascii="Times New Roman" w:eastAsia="Times New Roman" w:hAnsi="Times New Roman" w:cs="Times New Roman"/>
                <w:sz w:val="20"/>
                <w:szCs w:val="20"/>
                <w:lang w:val="x-none" w:eastAsia="zh-CN"/>
              </w:rPr>
              <w:t xml:space="preserve">RE corresponding to a </w:t>
            </w:r>
            <w:r w:rsidRPr="00785D8B">
              <w:rPr>
                <w:rFonts w:ascii="Times New Roman" w:eastAsia="Times New Roman" w:hAnsi="Times New Roman" w:cs="Times New Roman"/>
                <w:color w:val="FF0000"/>
                <w:sz w:val="20"/>
                <w:szCs w:val="20"/>
                <w:lang w:eastAsia="zh-CN"/>
              </w:rPr>
              <w:t>candidate</w:t>
            </w:r>
            <w:r>
              <w:rPr>
                <w:rFonts w:ascii="Times New Roman" w:eastAsia="Times New Roman" w:hAnsi="Times New Roman" w:cs="Times New Roman"/>
                <w:sz w:val="20"/>
                <w:szCs w:val="20"/>
                <w:lang w:eastAsia="zh-CN"/>
              </w:rPr>
              <w:t xml:space="preserve"> </w:t>
            </w:r>
            <w:r w:rsidRPr="00785D8B">
              <w:rPr>
                <w:rFonts w:ascii="Times New Roman" w:eastAsia="Times New Roman" w:hAnsi="Times New Roman" w:cs="Times New Roman"/>
                <w:sz w:val="20"/>
                <w:szCs w:val="20"/>
                <w:lang w:val="x-none" w:eastAsia="zh-CN"/>
              </w:rPr>
              <w:t xml:space="preserve">SS/PBCH block index provided by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sz w:val="20"/>
                <w:szCs w:val="20"/>
                <w:lang w:val="x-none"/>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rPr>
              <w:t>SIB1</w:t>
            </w:r>
            <w:r w:rsidRPr="00785D8B">
              <w:rPr>
                <w:rFonts w:ascii="Times New Roman" w:eastAsia="Times New Roman" w:hAnsi="Times New Roman" w:cs="Times New Roman"/>
                <w:sz w:val="20"/>
                <w:szCs w:val="20"/>
                <w:lang w:val="x-none" w:eastAsia="zh-CN"/>
              </w:rPr>
              <w:t>, the UE is not required to monitor the PDCCH candidate.</w:t>
            </w:r>
          </w:p>
          <w:p w14:paraId="0CBA676C" w14:textId="7A975583" w:rsidR="007B313A" w:rsidRDefault="007B313A" w:rsidP="00ED20EF">
            <w:pPr>
              <w:spacing w:after="180" w:line="240" w:lineRule="auto"/>
              <w:ind w:left="568" w:hanging="284"/>
            </w:pPr>
            <w:r w:rsidRPr="00785D8B">
              <w:rPr>
                <w:rFonts w:ascii="Times New Roman" w:eastAsia="Times New Roman" w:hAnsi="Times New Roman" w:cs="Times New Roman"/>
                <w:sz w:val="20"/>
                <w:szCs w:val="20"/>
                <w:lang w:val="x-none"/>
              </w:rPr>
              <w:t>-</w:t>
            </w:r>
            <w:r w:rsidRPr="00785D8B">
              <w:rPr>
                <w:rFonts w:ascii="Times New Roman" w:eastAsia="Times New Roman" w:hAnsi="Times New Roman" w:cs="Times New Roman"/>
                <w:sz w:val="20"/>
                <w:szCs w:val="20"/>
                <w:lang w:val="x-none"/>
              </w:rPr>
              <w:tab/>
              <w:t xml:space="preserve">If a UE has received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sz w:val="20"/>
                <w:szCs w:val="20"/>
                <w:lang w:val="x-none"/>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lang w:val="x-none"/>
              </w:rPr>
              <w:t>ServingCellConfigCommon</w:t>
            </w:r>
            <w:r w:rsidRPr="00785D8B">
              <w:rPr>
                <w:rFonts w:ascii="Times New Roman" w:eastAsia="Times New Roman" w:hAnsi="Times New Roman" w:cs="Times New Roman"/>
                <w:sz w:val="20"/>
                <w:szCs w:val="20"/>
              </w:rPr>
              <w:t xml:space="preserve"> </w:t>
            </w:r>
            <w:r w:rsidRPr="00785D8B">
              <w:rPr>
                <w:rFonts w:ascii="Times New Roman" w:eastAsia="Times New Roman" w:hAnsi="Times New Roman" w:cs="Times New Roman"/>
                <w:sz w:val="20"/>
                <w:szCs w:val="20"/>
                <w:lang w:val="x-none"/>
              </w:rPr>
              <w:t xml:space="preserve">for </w:t>
            </w:r>
            <w:r w:rsidRPr="00785D8B">
              <w:rPr>
                <w:rFonts w:ascii="Times New Roman" w:eastAsia="Times New Roman" w:hAnsi="Times New Roman" w:cs="Times New Roman"/>
                <w:sz w:val="20"/>
                <w:szCs w:val="20"/>
              </w:rPr>
              <w:t>a</w:t>
            </w:r>
            <w:r w:rsidRPr="00785D8B">
              <w:rPr>
                <w:rFonts w:ascii="Times New Roman" w:eastAsia="Times New Roman" w:hAnsi="Times New Roman" w:cs="Times New Roman"/>
                <w:sz w:val="20"/>
                <w:szCs w:val="20"/>
                <w:lang w:val="x-none"/>
              </w:rPr>
              <w:t xml:space="preserve"> serving cell and if</w:t>
            </w:r>
            <w:r w:rsidRPr="00785D8B">
              <w:rPr>
                <w:rFonts w:ascii="Times New Roman" w:eastAsia="Times New Roman" w:hAnsi="Times New Roman" w:cs="Times New Roman"/>
                <w:sz w:val="20"/>
                <w:szCs w:val="20"/>
                <w:lang w:val="x-none" w:eastAsia="zh-CN"/>
              </w:rPr>
              <w:t xml:space="preserve"> </w:t>
            </w:r>
            <w:r w:rsidRPr="00785D8B">
              <w:rPr>
                <w:rFonts w:ascii="Times New Roman" w:eastAsia="Times New Roman" w:hAnsi="Times New Roman" w:cs="Times New Roman"/>
                <w:sz w:val="20"/>
                <w:szCs w:val="20"/>
                <w:lang w:eastAsia="zh-CN"/>
              </w:rPr>
              <w:t xml:space="preserve">the UE does not monitor PDCCH candidates in a Type0-PDCCH CSS set and at least one </w:t>
            </w:r>
            <w:r w:rsidRPr="00785D8B">
              <w:rPr>
                <w:rFonts w:ascii="Times New Roman" w:eastAsia="Times New Roman" w:hAnsi="Times New Roman" w:cs="Times New Roman"/>
                <w:sz w:val="20"/>
                <w:szCs w:val="20"/>
                <w:lang w:val="x-none" w:eastAsia="zh-CN"/>
              </w:rPr>
              <w:t>RE for a PDCCH candidate overlap</w:t>
            </w:r>
            <w:r w:rsidRPr="00785D8B">
              <w:rPr>
                <w:rFonts w:ascii="Times New Roman" w:eastAsia="Times New Roman" w:hAnsi="Times New Roman" w:cs="Times New Roman"/>
                <w:sz w:val="20"/>
                <w:szCs w:val="20"/>
                <w:lang w:eastAsia="zh-CN"/>
              </w:rPr>
              <w:t>s</w:t>
            </w:r>
            <w:r w:rsidRPr="00785D8B">
              <w:rPr>
                <w:rFonts w:ascii="Times New Roman" w:eastAsia="Times New Roman" w:hAnsi="Times New Roman" w:cs="Times New Roman"/>
                <w:sz w:val="20"/>
                <w:szCs w:val="20"/>
                <w:lang w:val="x-none" w:eastAsia="zh-CN"/>
              </w:rPr>
              <w:t xml:space="preserve"> with </w:t>
            </w:r>
            <w:r w:rsidRPr="00785D8B">
              <w:rPr>
                <w:rFonts w:ascii="Times New Roman" w:eastAsia="Times New Roman" w:hAnsi="Times New Roman" w:cs="Times New Roman"/>
                <w:sz w:val="20"/>
                <w:szCs w:val="20"/>
                <w:lang w:eastAsia="zh-CN"/>
              </w:rPr>
              <w:t xml:space="preserve">at least one </w:t>
            </w:r>
            <w:r w:rsidRPr="00785D8B">
              <w:rPr>
                <w:rFonts w:ascii="Times New Roman" w:eastAsia="Times New Roman" w:hAnsi="Times New Roman" w:cs="Times New Roman"/>
                <w:sz w:val="20"/>
                <w:szCs w:val="20"/>
                <w:lang w:val="x-none" w:eastAsia="zh-CN"/>
              </w:rPr>
              <w:t xml:space="preserve">RE corresponding to a </w:t>
            </w:r>
            <w:r w:rsidRPr="00785D8B">
              <w:rPr>
                <w:rFonts w:ascii="Times New Roman" w:eastAsia="Times New Roman" w:hAnsi="Times New Roman" w:cs="Times New Roman"/>
                <w:color w:val="FF0000"/>
                <w:sz w:val="20"/>
                <w:szCs w:val="20"/>
                <w:lang w:eastAsia="zh-CN"/>
              </w:rPr>
              <w:t>candidate</w:t>
            </w:r>
            <w:r>
              <w:rPr>
                <w:rFonts w:ascii="Times New Roman" w:eastAsia="Times New Roman" w:hAnsi="Times New Roman" w:cs="Times New Roman"/>
                <w:sz w:val="20"/>
                <w:szCs w:val="20"/>
                <w:lang w:eastAsia="zh-CN"/>
              </w:rPr>
              <w:t xml:space="preserve"> </w:t>
            </w:r>
            <w:r w:rsidRPr="00785D8B">
              <w:rPr>
                <w:rFonts w:ascii="Times New Roman" w:eastAsia="Times New Roman" w:hAnsi="Times New Roman" w:cs="Times New Roman"/>
                <w:sz w:val="20"/>
                <w:szCs w:val="20"/>
                <w:lang w:val="x-none" w:eastAsia="zh-CN"/>
              </w:rPr>
              <w:t xml:space="preserve">SS/PBCH block index provided by </w:t>
            </w:r>
            <w:r w:rsidRPr="00785D8B">
              <w:rPr>
                <w:rFonts w:ascii="Times New Roman" w:eastAsia="Times New Roman" w:hAnsi="Times New Roman" w:cs="Times New Roman"/>
                <w:i/>
                <w:sz w:val="20"/>
                <w:szCs w:val="20"/>
                <w:lang w:val="x-none"/>
              </w:rPr>
              <w:t>ssb-PositionsInBurst</w:t>
            </w:r>
            <w:r w:rsidRPr="00785D8B">
              <w:rPr>
                <w:rFonts w:ascii="Times New Roman" w:eastAsia="Times New Roman" w:hAnsi="Times New Roman" w:cs="Times New Roman"/>
                <w:iCs/>
                <w:sz w:val="20"/>
                <w:szCs w:val="20"/>
              </w:rPr>
              <w:t xml:space="preserve"> </w:t>
            </w:r>
            <w:r w:rsidRPr="00785D8B">
              <w:rPr>
                <w:rFonts w:ascii="Times New Roman" w:eastAsia="Times New Roman" w:hAnsi="Times New Roman" w:cs="Times New Roman"/>
                <w:sz w:val="20"/>
                <w:szCs w:val="20"/>
              </w:rPr>
              <w:t xml:space="preserve">in </w:t>
            </w:r>
            <w:r w:rsidRPr="00785D8B">
              <w:rPr>
                <w:rFonts w:ascii="Times New Roman" w:eastAsia="Times New Roman" w:hAnsi="Times New Roman" w:cs="Times New Roman"/>
                <w:i/>
                <w:sz w:val="20"/>
                <w:szCs w:val="20"/>
                <w:lang w:val="x-none"/>
              </w:rPr>
              <w:t>ServingCellConfigCommon</w:t>
            </w:r>
            <w:r w:rsidRPr="00785D8B">
              <w:rPr>
                <w:rFonts w:ascii="Times New Roman" w:eastAsia="Times New Roman" w:hAnsi="Times New Roman" w:cs="Times New Roman"/>
                <w:sz w:val="20"/>
                <w:szCs w:val="20"/>
                <w:lang w:val="x-none" w:eastAsia="zh-CN"/>
              </w:rPr>
              <w:t>, the UE is not required to monitor the PDCCH candidate.</w:t>
            </w:r>
          </w:p>
        </w:tc>
      </w:tr>
    </w:tbl>
    <w:p w14:paraId="03AE3441" w14:textId="188BD167" w:rsidR="007B313A" w:rsidRDefault="007B313A" w:rsidP="00321409">
      <w:pPr>
        <w:pStyle w:val="BodyText"/>
      </w:pPr>
    </w:p>
    <w:p w14:paraId="46ED0FF8" w14:textId="3E0B045D" w:rsidR="00D529D3" w:rsidRDefault="00D529D3" w:rsidP="00321409">
      <w:pPr>
        <w:pStyle w:val="BodyText"/>
      </w:pPr>
      <w:r>
        <w:rPr>
          <w:lang w:val="en-GB"/>
        </w:rPr>
        <w:t>With this modification, the text “</w:t>
      </w:r>
      <w:r w:rsidRPr="00785D8B">
        <w:rPr>
          <w:rFonts w:ascii="Times New Roman" w:eastAsia="Times New Roman" w:hAnsi="Times New Roman" w:cs="Times New Roman"/>
          <w:color w:val="FF0000"/>
          <w:sz w:val="20"/>
          <w:szCs w:val="20"/>
        </w:rPr>
        <w:t>candidate</w:t>
      </w:r>
      <w:r>
        <w:rPr>
          <w:rFonts w:ascii="Times New Roman" w:eastAsia="Times New Roman" w:hAnsi="Times New Roman" w:cs="Times New Roman"/>
          <w:sz w:val="20"/>
          <w:szCs w:val="20"/>
        </w:rPr>
        <w:t xml:space="preserve"> </w:t>
      </w:r>
      <w:r w:rsidRPr="00785D8B">
        <w:rPr>
          <w:rFonts w:ascii="Times New Roman" w:eastAsia="Times New Roman" w:hAnsi="Times New Roman" w:cs="Times New Roman"/>
          <w:sz w:val="20"/>
          <w:szCs w:val="20"/>
          <w:lang w:val="x-none"/>
        </w:rPr>
        <w:t xml:space="preserve">SS/PBCH block index provided by </w:t>
      </w:r>
      <w:r w:rsidRPr="00785D8B">
        <w:rPr>
          <w:rFonts w:ascii="Times New Roman" w:eastAsia="Times New Roman" w:hAnsi="Times New Roman" w:cs="Times New Roman"/>
          <w:i/>
          <w:sz w:val="20"/>
          <w:szCs w:val="20"/>
          <w:lang w:val="x-none"/>
        </w:rPr>
        <w:t>ssb-PositionsInBurst</w:t>
      </w:r>
      <w:r>
        <w:rPr>
          <w:rFonts w:ascii="Times New Roman" w:eastAsia="Times New Roman" w:hAnsi="Times New Roman" w:cs="Times New Roman"/>
          <w:i/>
          <w:sz w:val="20"/>
          <w:szCs w:val="20"/>
          <w:lang w:val="en-GB"/>
        </w:rPr>
        <w:t>”</w:t>
      </w:r>
      <w:r w:rsidRPr="002C500F">
        <w:rPr>
          <w:lang w:val="en-GB"/>
        </w:rPr>
        <w:t xml:space="preserve"> in the above </w:t>
      </w:r>
      <w:r>
        <w:rPr>
          <w:lang w:val="en-GB"/>
        </w:rPr>
        <w:t xml:space="preserve">is to be interpreted that </w:t>
      </w:r>
      <w:r w:rsidRPr="00ED20EF">
        <w:rPr>
          <w:i/>
          <w:lang w:val="en-GB"/>
        </w:rPr>
        <w:t>ssb-PositionsInBurst</w:t>
      </w:r>
      <w:r>
        <w:rPr>
          <w:lang w:val="en-GB"/>
        </w:rPr>
        <w:t xml:space="preserve"> can provide candidate SS/PBCH block indices only in the range 0</w:t>
      </w:r>
      <w:proofErr w:type="gramStart"/>
      <w:r>
        <w:rPr>
          <w:lang w:val="en-GB"/>
        </w:rPr>
        <w:t xml:space="preserve"> ..</w:t>
      </w:r>
      <w:proofErr w:type="gramEnd"/>
      <w:r>
        <w:rPr>
          <w:lang w:val="en-GB"/>
        </w:rPr>
        <w:t xml:space="preserve"> 7</w:t>
      </w:r>
      <w:r w:rsidR="003C0B3C">
        <w:rPr>
          <w:lang w:val="en-GB"/>
        </w:rPr>
        <w:t xml:space="preserve"> (i.e., only within the length of the bitmap)</w:t>
      </w:r>
      <w:r>
        <w:rPr>
          <w:lang w:val="en-GB"/>
        </w:rPr>
        <w:t>, and only corresponding to positions in the bitmap containing a ‘1.’</w:t>
      </w:r>
    </w:p>
    <w:p w14:paraId="2D3ADFF8" w14:textId="42A766EE" w:rsidR="002C2448" w:rsidRDefault="002C2448" w:rsidP="00321409">
      <w:pPr>
        <w:pStyle w:val="BodyText"/>
      </w:pPr>
      <w:r>
        <w:t>Note that the change is backwards compatible to Rel-15, because for Rel-15, a candidate SS/PBCH block index and a SS/PBCH block index are equivalent</w:t>
      </w:r>
      <w:r w:rsidR="00D529D3">
        <w:t>, and both only have values in the range 0</w:t>
      </w:r>
      <w:proofErr w:type="gramStart"/>
      <w:r w:rsidR="00D529D3">
        <w:t xml:space="preserve"> ..</w:t>
      </w:r>
      <w:proofErr w:type="gramEnd"/>
      <w:r w:rsidR="00D529D3">
        <w:t xml:space="preserve"> 7.</w:t>
      </w:r>
    </w:p>
    <w:p w14:paraId="677CC835" w14:textId="1CEEB532" w:rsidR="00BE6EC9" w:rsidRDefault="00E673AD" w:rsidP="00BE6EC9">
      <w:pPr>
        <w:pStyle w:val="Proposal"/>
      </w:pPr>
      <w:bookmarkStart w:id="27" w:name="_Ref23927847"/>
      <w:bookmarkStart w:id="28" w:name="_Toc24104656"/>
      <w:r>
        <w:t xml:space="preserve">For procedures related to reception or transmission restrictions, </w:t>
      </w:r>
      <w:r w:rsidRPr="00ED20EF">
        <w:rPr>
          <w:i/>
        </w:rPr>
        <w:t>s</w:t>
      </w:r>
      <w:r w:rsidR="00BE6EC9" w:rsidRPr="00ED20EF">
        <w:rPr>
          <w:i/>
        </w:rPr>
        <w:t>sb-PositionsInBurst</w:t>
      </w:r>
      <w:r w:rsidR="00BE6EC9">
        <w:t xml:space="preserve"> </w:t>
      </w:r>
      <w:r>
        <w:t xml:space="preserve">indicates candidate SS/PBCH block positions starting at 0 and ending at 7. </w:t>
      </w:r>
      <w:r w:rsidR="00820752">
        <w:t>For candidate SS/PBCH block positions i</w:t>
      </w:r>
      <w:r>
        <w:t xml:space="preserve">ndex greater </w:t>
      </w:r>
      <w:r w:rsidR="00756C3A">
        <w:t>than</w:t>
      </w:r>
      <w:r>
        <w:t xml:space="preserve"> or eq</w:t>
      </w:r>
      <w:r w:rsidR="00820752">
        <w:t>ual to 8, the UE assumes the corresponding candidate SS/PBCH block positions not be indicated</w:t>
      </w:r>
      <w:r w:rsidR="00675870">
        <w:t xml:space="preserve"> (i.e. a zero is assumed)</w:t>
      </w:r>
      <w:r w:rsidR="00820752">
        <w:t>.</w:t>
      </w:r>
      <w:bookmarkEnd w:id="27"/>
      <w:bookmarkEnd w:id="28"/>
    </w:p>
    <w:p w14:paraId="2403AC6A" w14:textId="3BFA2F82" w:rsidR="008D6F42" w:rsidRDefault="008D6F42" w:rsidP="00321409">
      <w:pPr>
        <w:pStyle w:val="BodyText"/>
      </w:pPr>
    </w:p>
    <w:p w14:paraId="1AFCBA15" w14:textId="5AB49FF1" w:rsidR="00791980" w:rsidRPr="00ED20EF" w:rsidRDefault="00791980" w:rsidP="00ED20EF">
      <w:pPr>
        <w:pStyle w:val="BodyText"/>
        <w:rPr>
          <w:b/>
        </w:rPr>
      </w:pPr>
      <w:bookmarkStart w:id="29" w:name="_Hlk23788169"/>
      <w:r w:rsidRPr="00ED20EF">
        <w:rPr>
          <w:b/>
        </w:rPr>
        <w:t>PDSCH resource mapping (2</w:t>
      </w:r>
      <w:r w:rsidR="00DE3EB7">
        <w:rPr>
          <w:b/>
        </w:rPr>
        <w:t>b</w:t>
      </w:r>
      <w:r w:rsidRPr="00ED20EF">
        <w:rPr>
          <w:b/>
        </w:rPr>
        <w:t>)</w:t>
      </w:r>
      <w:bookmarkEnd w:id="29"/>
    </w:p>
    <w:p w14:paraId="4F0ED82C" w14:textId="4C87FFFF" w:rsidR="00390837" w:rsidRDefault="00390837" w:rsidP="00791980">
      <w:pPr>
        <w:pStyle w:val="BodyText"/>
      </w:pPr>
      <w:r>
        <w:t>The procedure is basically described by the following paragraph in §5.1.4 38.214:</w:t>
      </w:r>
    </w:p>
    <w:tbl>
      <w:tblPr>
        <w:tblStyle w:val="TableGrid"/>
        <w:tblW w:w="0" w:type="auto"/>
        <w:tblLook w:val="04A0" w:firstRow="1" w:lastRow="0" w:firstColumn="1" w:lastColumn="0" w:noHBand="0" w:noVBand="1"/>
      </w:tblPr>
      <w:tblGrid>
        <w:gridCol w:w="9629"/>
      </w:tblGrid>
      <w:tr w:rsidR="007B313A" w14:paraId="4332CE39" w14:textId="77777777" w:rsidTr="007B313A">
        <w:tc>
          <w:tcPr>
            <w:tcW w:w="9629" w:type="dxa"/>
          </w:tcPr>
          <w:p w14:paraId="2FCA8753" w14:textId="77777777" w:rsidR="007B313A" w:rsidRPr="00390837" w:rsidRDefault="007B313A" w:rsidP="007B313A">
            <w:pPr>
              <w:spacing w:after="180" w:line="240" w:lineRule="auto"/>
              <w:rPr>
                <w:rFonts w:ascii="Times New Roman" w:eastAsia="SimSun" w:hAnsi="Times New Roman" w:cs="Times New Roman"/>
                <w:kern w:val="2"/>
                <w:sz w:val="20"/>
                <w:szCs w:val="20"/>
                <w:lang w:val="en-GB" w:eastAsia="zh-CN"/>
              </w:rPr>
            </w:pPr>
            <w:r w:rsidRPr="00390837">
              <w:rPr>
                <w:rFonts w:ascii="Times New Roman" w:eastAsia="SimSun" w:hAnsi="Times New Roman" w:cs="Times New Roman"/>
                <w:kern w:val="2"/>
                <w:sz w:val="20"/>
                <w:szCs w:val="20"/>
                <w:lang w:val="en-GB" w:eastAsia="zh-CN"/>
              </w:rPr>
              <w:lastRenderedPageBreak/>
              <w:t xml:space="preserve">When receiving the PDSCH </w:t>
            </w:r>
            <w:r w:rsidRPr="00390837">
              <w:rPr>
                <w:rFonts w:ascii="Times New Roman" w:eastAsia="SimSun" w:hAnsi="Times New Roman" w:cs="Times New Roman"/>
                <w:color w:val="000000"/>
                <w:kern w:val="2"/>
                <w:sz w:val="20"/>
                <w:szCs w:val="20"/>
                <w:lang w:val="en-GB" w:eastAsia="zh-CN"/>
              </w:rPr>
              <w:t>scheduled with SI-RNTI and the system information indicator in DCI is set to 0</w:t>
            </w:r>
            <w:r w:rsidRPr="00390837">
              <w:rPr>
                <w:rFonts w:ascii="Times New Roman" w:eastAsia="SimSun" w:hAnsi="Times New Roman" w:cs="Times New Roman"/>
                <w:kern w:val="2"/>
                <w:sz w:val="20"/>
                <w:szCs w:val="20"/>
                <w:lang w:val="en-GB" w:eastAsia="zh-CN"/>
              </w:rPr>
              <w:t>, the UE shall assume that no SS/PBCH block is transmitted in REs used by the UE for a reception of the PDSCH.</w:t>
            </w:r>
          </w:p>
          <w:p w14:paraId="07B65046" w14:textId="77777777" w:rsidR="007B313A" w:rsidRPr="00390837" w:rsidRDefault="007B313A" w:rsidP="007B313A">
            <w:pPr>
              <w:spacing w:after="180" w:line="240" w:lineRule="auto"/>
              <w:rPr>
                <w:rFonts w:ascii="Times New Roman" w:eastAsia="SimSun" w:hAnsi="Times New Roman" w:cs="Times New Roman"/>
                <w:kern w:val="2"/>
                <w:sz w:val="20"/>
                <w:szCs w:val="20"/>
                <w:lang w:val="en-GB" w:eastAsia="zh-CN"/>
              </w:rPr>
            </w:pPr>
            <w:r w:rsidRPr="00390837">
              <w:rPr>
                <w:rFonts w:ascii="Times New Roman" w:eastAsia="SimSun" w:hAnsi="Times New Roman" w:cs="Times New Roman"/>
                <w:kern w:val="2"/>
                <w:sz w:val="20"/>
                <w:szCs w:val="20"/>
                <w:lang w:val="en-GB" w:eastAsia="zh-CN"/>
              </w:rPr>
              <w:t xml:space="preserve">When receiving the PDSCH </w:t>
            </w:r>
            <w:r w:rsidRPr="00390837">
              <w:rPr>
                <w:rFonts w:ascii="Times New Roman" w:eastAsia="SimSun" w:hAnsi="Times New Roman" w:cs="Times New Roman"/>
                <w:color w:val="000000"/>
                <w:kern w:val="2"/>
                <w:sz w:val="20"/>
                <w:szCs w:val="20"/>
                <w:lang w:val="en-GB" w:eastAsia="zh-CN"/>
              </w:rPr>
              <w:t>scheduled with SI-RNTI and the system information indicator in DCI is set to 1, RA-RNTI, P-RNTI or TC-RNTI</w:t>
            </w:r>
            <w:r w:rsidRPr="00390837">
              <w:rPr>
                <w:rFonts w:ascii="Times New Roman" w:eastAsia="SimSun" w:hAnsi="Times New Roman" w:cs="Times New Roman"/>
                <w:kern w:val="2"/>
                <w:sz w:val="20"/>
                <w:szCs w:val="20"/>
                <w:lang w:val="en-GB" w:eastAsia="zh-CN"/>
              </w:rPr>
              <w:t xml:space="preserve">, </w:t>
            </w:r>
            <w:r w:rsidRPr="00785D8B">
              <w:rPr>
                <w:rFonts w:ascii="Times New Roman" w:eastAsia="SimSun" w:hAnsi="Times New Roman" w:cs="Times New Roman"/>
                <w:kern w:val="2"/>
                <w:sz w:val="20"/>
                <w:szCs w:val="20"/>
                <w:u w:val="single"/>
                <w:lang w:val="en-GB" w:eastAsia="zh-CN"/>
              </w:rPr>
              <w:t xml:space="preserve">the UE assumes SS/PBCH block transmission according to </w:t>
            </w:r>
            <w:r w:rsidRPr="00785D8B">
              <w:rPr>
                <w:rFonts w:ascii="Times New Roman" w:eastAsia="SimSun" w:hAnsi="Times New Roman" w:cs="Times New Roman"/>
                <w:i/>
                <w:color w:val="000000"/>
                <w:kern w:val="2"/>
                <w:sz w:val="20"/>
                <w:szCs w:val="20"/>
                <w:u w:val="single"/>
                <w:lang w:val="en-GB" w:eastAsia="zh-CN"/>
              </w:rPr>
              <w:t>ssb-PositionsInBurst</w:t>
            </w:r>
            <w:r w:rsidRPr="00390837">
              <w:rPr>
                <w:rFonts w:ascii="Times New Roman" w:eastAsia="SimSun" w:hAnsi="Times New Roman" w:cs="Times New Roman"/>
                <w:kern w:val="2"/>
                <w:sz w:val="20"/>
                <w:szCs w:val="20"/>
                <w:lang w:val="en-GB" w:eastAsia="zh-CN"/>
              </w:rPr>
              <w:t xml:space="preserve">, and if the PDSCH resource allocation overlaps with </w:t>
            </w:r>
            <w:r w:rsidRPr="00785D8B">
              <w:rPr>
                <w:rFonts w:ascii="Times New Roman" w:eastAsia="SimSun" w:hAnsi="Times New Roman" w:cs="Times New Roman"/>
                <w:kern w:val="2"/>
                <w:sz w:val="20"/>
                <w:szCs w:val="20"/>
                <w:u w:val="single"/>
                <w:lang w:val="en-GB" w:eastAsia="zh-CN"/>
              </w:rPr>
              <w:t>PRBs containing SS/PBCH block transmission resources</w:t>
            </w:r>
            <w:r w:rsidRPr="00390837">
              <w:rPr>
                <w:rFonts w:ascii="Times New Roman" w:eastAsia="SimSun" w:hAnsi="Times New Roman" w:cs="Times New Roman"/>
                <w:kern w:val="2"/>
                <w:sz w:val="20"/>
                <w:szCs w:val="20"/>
                <w:lang w:val="en-GB" w:eastAsia="zh-CN"/>
              </w:rPr>
              <w:t xml:space="preserve"> the UE shall assume that </w:t>
            </w:r>
            <w:r w:rsidRPr="00390837">
              <w:rPr>
                <w:rFonts w:ascii="Times New Roman" w:eastAsia="SimSun" w:hAnsi="Times New Roman" w:cs="Times New Roman"/>
                <w:color w:val="000000"/>
                <w:kern w:val="2"/>
                <w:sz w:val="20"/>
                <w:szCs w:val="20"/>
                <w:lang w:val="en-GB" w:eastAsia="zh-CN"/>
              </w:rPr>
              <w:t>the PRBs containing SS/PBCH block transmission resources are not available for PDSCH</w:t>
            </w:r>
            <w:r w:rsidRPr="00390837">
              <w:rPr>
                <w:rFonts w:ascii="Times New Roman" w:eastAsia="SimSun" w:hAnsi="Times New Roman" w:cs="Times New Roman"/>
                <w:kern w:val="2"/>
                <w:sz w:val="20"/>
                <w:szCs w:val="20"/>
                <w:lang w:val="en-GB" w:eastAsia="zh-CN"/>
              </w:rPr>
              <w:t xml:space="preserve"> in the OFDM symbols where SS/PBCH block is transmitted.</w:t>
            </w:r>
          </w:p>
          <w:p w14:paraId="78324E17" w14:textId="77777777" w:rsidR="007B313A" w:rsidRPr="00390837" w:rsidRDefault="007B313A" w:rsidP="007B313A">
            <w:pPr>
              <w:spacing w:after="180" w:line="240" w:lineRule="auto"/>
              <w:rPr>
                <w:rFonts w:ascii="Times New Roman" w:eastAsia="Times New Roman" w:hAnsi="Times New Roman" w:cs="Times New Roman"/>
                <w:color w:val="000000"/>
                <w:sz w:val="20"/>
                <w:szCs w:val="20"/>
                <w:lang w:val="en-GB"/>
              </w:rPr>
            </w:pPr>
            <w:r w:rsidRPr="00390837">
              <w:rPr>
                <w:rFonts w:ascii="Times New Roman" w:eastAsia="Times New Roman" w:hAnsi="Times New Roman" w:cs="Times New Roman"/>
                <w:color w:val="000000"/>
                <w:sz w:val="20"/>
                <w:szCs w:val="20"/>
                <w:lang w:val="en-GB"/>
              </w:rPr>
              <w:t xml:space="preserve">A UE expects a configuration provided by </w:t>
            </w:r>
            <w:r w:rsidRPr="00390837">
              <w:rPr>
                <w:rFonts w:ascii="Times New Roman" w:eastAsia="Times New Roman" w:hAnsi="Times New Roman" w:cs="Times New Roman"/>
                <w:i/>
                <w:color w:val="000000"/>
                <w:sz w:val="20"/>
                <w:szCs w:val="20"/>
                <w:lang w:val="en-GB"/>
              </w:rPr>
              <w:t>ssb-PositionsInBurst</w:t>
            </w:r>
            <w:r w:rsidRPr="00390837">
              <w:rPr>
                <w:rFonts w:ascii="Times New Roman" w:eastAsia="Times New Roman" w:hAnsi="Times New Roman" w:cs="Times New Roman"/>
                <w:color w:val="000000"/>
                <w:sz w:val="20"/>
                <w:szCs w:val="20"/>
                <w:lang w:val="en-GB"/>
              </w:rPr>
              <w:t xml:space="preserve"> in </w:t>
            </w:r>
            <w:r w:rsidRPr="00390837">
              <w:rPr>
                <w:rFonts w:ascii="Times New Roman" w:eastAsia="Times New Roman" w:hAnsi="Times New Roman" w:cs="Times New Roman"/>
                <w:i/>
                <w:color w:val="000000"/>
                <w:sz w:val="20"/>
                <w:szCs w:val="20"/>
                <w:lang w:val="en-GB"/>
              </w:rPr>
              <w:t>ServingCellConfigCommon</w:t>
            </w:r>
            <w:r w:rsidRPr="00390837">
              <w:rPr>
                <w:rFonts w:ascii="Times New Roman" w:eastAsia="Times New Roman" w:hAnsi="Times New Roman" w:cs="Times New Roman"/>
                <w:color w:val="000000"/>
                <w:sz w:val="20"/>
                <w:szCs w:val="20"/>
                <w:lang w:val="en-GB"/>
              </w:rPr>
              <w:t xml:space="preserve"> to be same as a configuration provided by </w:t>
            </w:r>
            <w:r w:rsidRPr="00390837">
              <w:rPr>
                <w:rFonts w:ascii="Times New Roman" w:eastAsia="Times New Roman" w:hAnsi="Times New Roman" w:cs="Times New Roman"/>
                <w:i/>
                <w:color w:val="000000"/>
                <w:sz w:val="20"/>
                <w:szCs w:val="20"/>
                <w:lang w:val="en-GB"/>
              </w:rPr>
              <w:t>ssb-PositionsInBurst</w:t>
            </w:r>
            <w:r w:rsidRPr="00390837">
              <w:rPr>
                <w:rFonts w:ascii="Times New Roman" w:eastAsia="Times New Roman" w:hAnsi="Times New Roman" w:cs="Times New Roman"/>
                <w:color w:val="000000"/>
                <w:sz w:val="20"/>
                <w:szCs w:val="20"/>
                <w:lang w:val="en-GB"/>
              </w:rPr>
              <w:t xml:space="preserve"> in </w:t>
            </w:r>
            <w:r w:rsidRPr="00390837">
              <w:rPr>
                <w:rFonts w:ascii="Times New Roman" w:eastAsia="Times New Roman" w:hAnsi="Times New Roman" w:cs="Times New Roman"/>
                <w:i/>
                <w:color w:val="000000"/>
                <w:sz w:val="20"/>
                <w:szCs w:val="20"/>
                <w:lang w:val="en-GB"/>
              </w:rPr>
              <w:t>SIB1</w:t>
            </w:r>
            <w:r w:rsidRPr="00390837">
              <w:rPr>
                <w:rFonts w:ascii="Times New Roman" w:eastAsia="Times New Roman" w:hAnsi="Times New Roman" w:cs="Times New Roman"/>
                <w:color w:val="000000"/>
                <w:sz w:val="20"/>
                <w:szCs w:val="20"/>
                <w:lang w:val="en-GB"/>
              </w:rPr>
              <w:t>.</w:t>
            </w:r>
          </w:p>
          <w:p w14:paraId="3CEABF31" w14:textId="77777777" w:rsidR="007B313A" w:rsidRPr="00390837" w:rsidRDefault="007B313A" w:rsidP="007B313A">
            <w:pPr>
              <w:spacing w:after="180" w:line="240" w:lineRule="auto"/>
              <w:rPr>
                <w:rFonts w:ascii="Times New Roman" w:eastAsia="Times New Roman" w:hAnsi="Times New Roman" w:cs="Times New Roman"/>
                <w:color w:val="000000"/>
                <w:sz w:val="20"/>
                <w:szCs w:val="20"/>
                <w:lang w:val="en-GB"/>
              </w:rPr>
            </w:pPr>
            <w:r w:rsidRPr="00390837">
              <w:rPr>
                <w:rFonts w:ascii="Times New Roman" w:eastAsia="Times New Roman" w:hAnsi="Times New Roman" w:cs="Times New Roman"/>
                <w:color w:val="000000"/>
                <w:sz w:val="20"/>
                <w:szCs w:val="20"/>
                <w:lang w:val="en-GB"/>
              </w:rPr>
              <w:t xml:space="preserve">When receiving PDSCH scheduled by PDCCH with CRC scrambled by C-RNTI, MCS-C-RNTI, CS-RNTI, or PDSCHs with SPS, the REs corresponding to the configured or dynamically indicated resources in Subclauses 5.1.4.1, 5.1.4.2 are not available for PDSCH. </w:t>
            </w:r>
            <w:r w:rsidRPr="00785D8B">
              <w:rPr>
                <w:rFonts w:ascii="Times New Roman" w:eastAsia="Times New Roman" w:hAnsi="Times New Roman" w:cs="Times New Roman"/>
                <w:color w:val="000000"/>
                <w:sz w:val="20"/>
                <w:szCs w:val="20"/>
                <w:lang w:val="en-GB"/>
              </w:rPr>
              <w:t xml:space="preserve">Furthermore, </w:t>
            </w:r>
            <w:r w:rsidRPr="00785D8B">
              <w:rPr>
                <w:rFonts w:ascii="Times New Roman" w:eastAsia="Times New Roman" w:hAnsi="Times New Roman" w:cs="Times New Roman"/>
                <w:color w:val="000000"/>
                <w:sz w:val="20"/>
                <w:szCs w:val="20"/>
                <w:u w:val="single"/>
                <w:lang w:val="en-GB"/>
              </w:rPr>
              <w:t xml:space="preserve">the UE assumes SS/PBCH block transmission according to </w:t>
            </w:r>
            <w:r w:rsidRPr="00785D8B">
              <w:rPr>
                <w:rFonts w:ascii="Times New Roman" w:eastAsia="Times New Roman" w:hAnsi="Times New Roman" w:cs="Times New Roman"/>
                <w:i/>
                <w:color w:val="000000"/>
                <w:sz w:val="20"/>
                <w:szCs w:val="20"/>
                <w:u w:val="single"/>
                <w:lang w:val="en-GB"/>
              </w:rPr>
              <w:t>ssb-PositionsInBurst</w:t>
            </w:r>
            <w:r w:rsidRPr="00390837">
              <w:rPr>
                <w:rFonts w:ascii="Times New Roman" w:eastAsia="Times New Roman" w:hAnsi="Times New Roman" w:cs="Times New Roman"/>
                <w:color w:val="000000"/>
                <w:sz w:val="20"/>
                <w:szCs w:val="20"/>
                <w:lang w:val="en-GB"/>
              </w:rPr>
              <w:t xml:space="preserve"> if the PDSCH resource allocation overlaps with PRBs containing SS/PBCH block transmission resources, the UE shall assume that the </w:t>
            </w:r>
            <w:r w:rsidRPr="00785D8B">
              <w:rPr>
                <w:rFonts w:ascii="Times New Roman" w:eastAsia="Times New Roman" w:hAnsi="Times New Roman" w:cs="Times New Roman"/>
                <w:color w:val="000000"/>
                <w:sz w:val="20"/>
                <w:szCs w:val="20"/>
                <w:u w:val="single"/>
                <w:lang w:val="en-GB"/>
              </w:rPr>
              <w:t>PRBs containing SS/PBCH block transmission resources</w:t>
            </w:r>
            <w:r w:rsidRPr="00390837">
              <w:rPr>
                <w:rFonts w:ascii="Times New Roman" w:eastAsia="Times New Roman" w:hAnsi="Times New Roman" w:cs="Times New Roman"/>
                <w:color w:val="000000"/>
                <w:sz w:val="20"/>
                <w:szCs w:val="20"/>
                <w:lang w:val="en-GB"/>
              </w:rPr>
              <w:t xml:space="preserve"> are not available for PDSCH in the OFDM symbols where SS/PBCH block is transmitted. </w:t>
            </w:r>
          </w:p>
          <w:p w14:paraId="219A9AD6" w14:textId="5E230BB9" w:rsidR="007B313A" w:rsidRPr="00ED20EF" w:rsidRDefault="007B313A" w:rsidP="00ED20EF">
            <w:pPr>
              <w:spacing w:after="180" w:line="240" w:lineRule="auto"/>
              <w:rPr>
                <w:lang w:val="en-GB"/>
              </w:rPr>
            </w:pPr>
            <w:r w:rsidRPr="00390837">
              <w:rPr>
                <w:rFonts w:ascii="Times New Roman" w:eastAsia="Times New Roman" w:hAnsi="Times New Roman" w:cs="Times New Roman"/>
                <w:color w:val="000000"/>
                <w:sz w:val="20"/>
                <w:szCs w:val="20"/>
                <w:lang w:val="en-GB"/>
              </w:rPr>
              <w:t>A UE is not expected to handle the case where PDSCH DM-RS REs are overlapping, even partially, with any RE(s) not available for PDSCH</w:t>
            </w:r>
            <w:r w:rsidRPr="00390837">
              <w:rPr>
                <w:rFonts w:ascii="Times New Roman" w:eastAsia="Times New Roman" w:hAnsi="Times New Roman" w:cs="Times New Roman"/>
                <w:i/>
                <w:color w:val="000000"/>
                <w:sz w:val="20"/>
                <w:szCs w:val="20"/>
                <w:lang w:val="en-GB"/>
              </w:rPr>
              <w:t>.</w:t>
            </w:r>
          </w:p>
        </w:tc>
      </w:tr>
    </w:tbl>
    <w:p w14:paraId="1874C430" w14:textId="77777777" w:rsidR="007B313A" w:rsidRDefault="007B313A" w:rsidP="00791980">
      <w:pPr>
        <w:pStyle w:val="BodyText"/>
      </w:pPr>
    </w:p>
    <w:p w14:paraId="43BCFDFC" w14:textId="5E14882E" w:rsidR="00791980" w:rsidRDefault="00791980" w:rsidP="00791980">
      <w:pPr>
        <w:pStyle w:val="BodyText"/>
        <w:rPr>
          <w:color w:val="000000"/>
        </w:rPr>
      </w:pPr>
      <w:r w:rsidRPr="001C585A">
        <w:t xml:space="preserve">Thus, to summarize in Rel-15 NR a UE uses a combination of </w:t>
      </w:r>
      <w:r w:rsidRPr="001C585A">
        <w:rPr>
          <w:rFonts w:eastAsia="SimSun"/>
          <w:i/>
          <w:color w:val="000000"/>
          <w:kern w:val="2"/>
        </w:rPr>
        <w:t>ssb-PositionsInBurst</w:t>
      </w:r>
      <w:r w:rsidRPr="001C585A">
        <w:rPr>
          <w:rFonts w:eastAsia="SimSun"/>
          <w:color w:val="000000"/>
          <w:kern w:val="2"/>
        </w:rPr>
        <w:t xml:space="preserve"> and configured </w:t>
      </w:r>
      <w:r w:rsidR="00F17881">
        <w:rPr>
          <w:rFonts w:eastAsia="SimSun"/>
          <w:color w:val="000000"/>
          <w:kern w:val="2"/>
        </w:rPr>
        <w:t>(semi-statically) and</w:t>
      </w:r>
      <w:r w:rsidRPr="001C585A">
        <w:rPr>
          <w:rFonts w:eastAsia="SimSun"/>
          <w:color w:val="000000"/>
          <w:kern w:val="2"/>
        </w:rPr>
        <w:t xml:space="preserve"> </w:t>
      </w:r>
      <w:r w:rsidRPr="001C585A">
        <w:rPr>
          <w:color w:val="000000"/>
        </w:rPr>
        <w:t xml:space="preserve">dynamically indicated </w:t>
      </w:r>
      <w:r>
        <w:rPr>
          <w:color w:val="000000"/>
        </w:rPr>
        <w:t xml:space="preserve">reserved </w:t>
      </w:r>
      <w:r w:rsidRPr="001C585A">
        <w:rPr>
          <w:color w:val="000000"/>
        </w:rPr>
        <w:t>resources for determining which resources that are not available for PDSCH.</w:t>
      </w:r>
    </w:p>
    <w:p w14:paraId="726212E3" w14:textId="6AEEAB9C" w:rsidR="00F17881" w:rsidRDefault="00F17881" w:rsidP="00791980">
      <w:pPr>
        <w:pStyle w:val="BodyText"/>
        <w:rPr>
          <w:color w:val="000000"/>
        </w:rPr>
      </w:pPr>
      <w:r>
        <w:rPr>
          <w:color w:val="000000"/>
        </w:rPr>
        <w:t xml:space="preserve">When the SS/PBCH blocks </w:t>
      </w:r>
      <w:proofErr w:type="gramStart"/>
      <w:r>
        <w:rPr>
          <w:color w:val="000000"/>
        </w:rPr>
        <w:t>are allowed to</w:t>
      </w:r>
      <w:proofErr w:type="gramEnd"/>
      <w:r>
        <w:rPr>
          <w:color w:val="000000"/>
        </w:rPr>
        <w:t xml:space="preserve"> shift in time, the above text becomes ambiguous. It is not clear what </w:t>
      </w:r>
      <w:r w:rsidRPr="00ED20EF">
        <w:rPr>
          <w:i/>
          <w:color w:val="000000"/>
        </w:rPr>
        <w:t>“the UE assumes SS/PBCH block transmissions according to ssb-PositionsInBurst”</w:t>
      </w:r>
      <w:r>
        <w:rPr>
          <w:color w:val="000000"/>
        </w:rPr>
        <w:t xml:space="preserve"> means.</w:t>
      </w:r>
    </w:p>
    <w:p w14:paraId="446887CF" w14:textId="54B932D6" w:rsidR="00791980" w:rsidRPr="001C585A" w:rsidRDefault="007B313A" w:rsidP="00791980">
      <w:pPr>
        <w:pStyle w:val="BodyText"/>
      </w:pPr>
      <w:r>
        <w:t>W</w:t>
      </w:r>
      <w:r w:rsidR="00791980" w:rsidRPr="001C585A">
        <w:t>e observe that the mechanism of dynamically</w:t>
      </w:r>
      <w:r w:rsidR="003228A3">
        <w:t xml:space="preserve"> </w:t>
      </w:r>
      <w:r w:rsidR="00F17881">
        <w:t>and semi-statically</w:t>
      </w:r>
      <w:r w:rsidR="00791980" w:rsidRPr="001C585A">
        <w:t xml:space="preserve"> indicating resources not available for PDSCH can be used as a rate matching mechanism for SS/PBCH Block(s) in the DRS transmission window. The Rel-15 mechanisms (configured in </w:t>
      </w:r>
      <w:proofErr w:type="spellStart"/>
      <w:r w:rsidR="00791980" w:rsidRPr="00321409">
        <w:rPr>
          <w:rFonts w:cs="Arial"/>
          <w:i/>
          <w:iCs/>
        </w:rPr>
        <w:t>RateMatchPattern</w:t>
      </w:r>
      <w:proofErr w:type="spellEnd"/>
      <w:r w:rsidR="00791980" w:rsidRPr="001C585A">
        <w:t>) are already very flexible with RB and symbol level bitmaps (</w:t>
      </w:r>
      <w:proofErr w:type="spellStart"/>
      <w:r w:rsidR="00791980" w:rsidRPr="00321409">
        <w:rPr>
          <w:rFonts w:cs="Arial"/>
          <w:i/>
          <w:iCs/>
        </w:rPr>
        <w:t>resourceBlocks</w:t>
      </w:r>
      <w:proofErr w:type="spellEnd"/>
      <w:r w:rsidR="00791980" w:rsidRPr="00321409">
        <w:rPr>
          <w:rFonts w:cs="Arial"/>
          <w:i/>
          <w:iCs/>
        </w:rPr>
        <w:t xml:space="preserve"> </w:t>
      </w:r>
      <w:r w:rsidR="00791980" w:rsidRPr="00321409">
        <w:rPr>
          <w:rFonts w:cs="Arial"/>
          <w:iCs/>
        </w:rPr>
        <w:t xml:space="preserve">and </w:t>
      </w:r>
      <w:proofErr w:type="spellStart"/>
      <w:r w:rsidR="00791980" w:rsidRPr="00321409">
        <w:rPr>
          <w:rFonts w:cs="Arial"/>
          <w:i/>
          <w:iCs/>
        </w:rPr>
        <w:t>symbolsInResourceBlock</w:t>
      </w:r>
      <w:proofErr w:type="spellEnd"/>
      <w:r w:rsidR="00791980" w:rsidRPr="00321409">
        <w:rPr>
          <w:rFonts w:cs="Arial"/>
          <w:iCs/>
        </w:rPr>
        <w:t xml:space="preserve">). In addition, </w:t>
      </w:r>
      <w:proofErr w:type="spellStart"/>
      <w:r w:rsidR="00791980" w:rsidRPr="00321409">
        <w:rPr>
          <w:rFonts w:cs="Arial"/>
          <w:i/>
          <w:iCs/>
        </w:rPr>
        <w:t>periodicityAndPattern</w:t>
      </w:r>
      <w:proofErr w:type="spellEnd"/>
      <w:r w:rsidR="00791980" w:rsidRPr="001C585A">
        <w:t xml:space="preserve"> provides the possibility to configure a slot level repeating pattern, covering the DRS transmission window and slots in between. </w:t>
      </w:r>
    </w:p>
    <w:p w14:paraId="792EF32D" w14:textId="76439861" w:rsidR="00791980" w:rsidRPr="001C585A" w:rsidRDefault="00791980" w:rsidP="00791980">
      <w:pPr>
        <w:pStyle w:val="Observation"/>
      </w:pPr>
      <w:bookmarkStart w:id="30" w:name="_Toc24104671"/>
      <w:r w:rsidRPr="001C585A">
        <w:t xml:space="preserve">The Rel-15 mechanism of dynamically </w:t>
      </w:r>
      <w:r w:rsidR="007B313A">
        <w:t xml:space="preserve">and semi-statically </w:t>
      </w:r>
      <w:r w:rsidRPr="001C585A">
        <w:t xml:space="preserve">indicating resources not available for PDSCH can be used as a rate matching mechanism for SS/PBCH Block(s) in the </w:t>
      </w:r>
      <w:r>
        <w:t>DRS transmission</w:t>
      </w:r>
      <w:r w:rsidRPr="001C585A">
        <w:t xml:space="preserve"> window.</w:t>
      </w:r>
      <w:bookmarkEnd w:id="30"/>
    </w:p>
    <w:p w14:paraId="03EB9D0D" w14:textId="77777777" w:rsidR="00211638" w:rsidRDefault="00211638" w:rsidP="00B33AD2">
      <w:pPr>
        <w:pStyle w:val="BodyText"/>
      </w:pPr>
    </w:p>
    <w:p w14:paraId="1DDEAA4D" w14:textId="048B31F3" w:rsidR="00615C21" w:rsidRDefault="00211638" w:rsidP="00B33AD2">
      <w:pPr>
        <w:pStyle w:val="BodyText"/>
      </w:pPr>
      <w:r>
        <w:t xml:space="preserve">In accordance with </w:t>
      </w:r>
      <w:r>
        <w:fldChar w:fldCharType="begin"/>
      </w:r>
      <w:r>
        <w:instrText xml:space="preserve"> REF _Ref23927847 \r \h </w:instrText>
      </w:r>
      <w:r>
        <w:fldChar w:fldCharType="separate"/>
      </w:r>
      <w:r w:rsidR="009200D5">
        <w:t>Proposal 12</w:t>
      </w:r>
      <w:r>
        <w:fldChar w:fldCharType="end"/>
      </w:r>
      <w:r w:rsidR="00615C21">
        <w:t xml:space="preserve">, </w:t>
      </w:r>
      <w:r w:rsidR="00865D0B">
        <w:t xml:space="preserve">the UE would need </w:t>
      </w:r>
      <w:r w:rsidR="00BE583E">
        <w:t xml:space="preserve">to assume SS/PBCH block transmissions corresponding to candidate SS/PBCH block index in ssb-PositionsInBurst. The above text could </w:t>
      </w:r>
      <w:r w:rsidR="00BF15CC">
        <w:t xml:space="preserve">for example </w:t>
      </w:r>
      <w:r w:rsidR="00BE583E">
        <w:t>be modified as</w:t>
      </w:r>
    </w:p>
    <w:tbl>
      <w:tblPr>
        <w:tblStyle w:val="TableGrid"/>
        <w:tblW w:w="0" w:type="auto"/>
        <w:tblLook w:val="04A0" w:firstRow="1" w:lastRow="0" w:firstColumn="1" w:lastColumn="0" w:noHBand="0" w:noVBand="1"/>
      </w:tblPr>
      <w:tblGrid>
        <w:gridCol w:w="9629"/>
      </w:tblGrid>
      <w:tr w:rsidR="00BE583E" w14:paraId="524C4017" w14:textId="77777777" w:rsidTr="00BE583E">
        <w:tc>
          <w:tcPr>
            <w:tcW w:w="9629" w:type="dxa"/>
          </w:tcPr>
          <w:p w14:paraId="4AB77D08" w14:textId="77777777" w:rsidR="00BE583E" w:rsidRPr="00390837" w:rsidRDefault="00BE583E" w:rsidP="00BE583E">
            <w:pPr>
              <w:spacing w:after="180" w:line="240" w:lineRule="auto"/>
              <w:jc w:val="both"/>
              <w:rPr>
                <w:rFonts w:ascii="Times New Roman" w:eastAsia="SimSun" w:hAnsi="Times New Roman" w:cs="Times New Roman"/>
                <w:kern w:val="2"/>
                <w:sz w:val="20"/>
                <w:szCs w:val="20"/>
                <w:lang w:val="en-GB" w:eastAsia="zh-CN"/>
              </w:rPr>
            </w:pPr>
            <w:r w:rsidRPr="00390837">
              <w:rPr>
                <w:rFonts w:ascii="Times New Roman" w:eastAsia="SimSun" w:hAnsi="Times New Roman" w:cs="Times New Roman"/>
                <w:kern w:val="2"/>
                <w:sz w:val="20"/>
                <w:szCs w:val="20"/>
                <w:lang w:val="en-GB" w:eastAsia="zh-CN"/>
              </w:rPr>
              <w:t xml:space="preserve">When receiving the PDSCH </w:t>
            </w:r>
            <w:r w:rsidRPr="00390837">
              <w:rPr>
                <w:rFonts w:ascii="Times New Roman" w:eastAsia="SimSun" w:hAnsi="Times New Roman" w:cs="Times New Roman"/>
                <w:color w:val="000000"/>
                <w:kern w:val="2"/>
                <w:sz w:val="20"/>
                <w:szCs w:val="20"/>
                <w:lang w:val="en-GB" w:eastAsia="zh-CN"/>
              </w:rPr>
              <w:t>scheduled with SI-RNTI and the system information indicator in DCI is set to 0</w:t>
            </w:r>
            <w:r w:rsidRPr="00390837">
              <w:rPr>
                <w:rFonts w:ascii="Times New Roman" w:eastAsia="SimSun" w:hAnsi="Times New Roman" w:cs="Times New Roman"/>
                <w:kern w:val="2"/>
                <w:sz w:val="20"/>
                <w:szCs w:val="20"/>
                <w:lang w:val="en-GB" w:eastAsia="zh-CN"/>
              </w:rPr>
              <w:t>, the UE shall assume that no SS/PBCH block is transmitted in REs used by the UE for a reception of the PDSCH.</w:t>
            </w:r>
          </w:p>
          <w:p w14:paraId="7C448986" w14:textId="43172B43" w:rsidR="00BE583E" w:rsidRPr="00390837" w:rsidRDefault="00BE583E" w:rsidP="00BE583E">
            <w:pPr>
              <w:spacing w:after="180" w:line="240" w:lineRule="auto"/>
              <w:jc w:val="both"/>
              <w:rPr>
                <w:rFonts w:ascii="Times New Roman" w:eastAsia="SimSun" w:hAnsi="Times New Roman" w:cs="Times New Roman"/>
                <w:kern w:val="2"/>
                <w:sz w:val="20"/>
                <w:szCs w:val="20"/>
                <w:lang w:val="en-GB" w:eastAsia="zh-CN"/>
              </w:rPr>
            </w:pPr>
            <w:r w:rsidRPr="00390837">
              <w:rPr>
                <w:rFonts w:ascii="Times New Roman" w:eastAsia="SimSun" w:hAnsi="Times New Roman" w:cs="Times New Roman"/>
                <w:kern w:val="2"/>
                <w:sz w:val="20"/>
                <w:szCs w:val="20"/>
                <w:lang w:val="en-GB" w:eastAsia="zh-CN"/>
              </w:rPr>
              <w:t xml:space="preserve">When receiving the PDSCH </w:t>
            </w:r>
            <w:r w:rsidRPr="00390837">
              <w:rPr>
                <w:rFonts w:ascii="Times New Roman" w:eastAsia="SimSun" w:hAnsi="Times New Roman" w:cs="Times New Roman"/>
                <w:color w:val="000000"/>
                <w:kern w:val="2"/>
                <w:sz w:val="20"/>
                <w:szCs w:val="20"/>
                <w:lang w:val="en-GB" w:eastAsia="zh-CN"/>
              </w:rPr>
              <w:t>scheduled with SI-RNTI and the system information indicator in DCI is set to 1, RA-RNTI, P-RNTI or TC-RNTI</w:t>
            </w:r>
            <w:r w:rsidRPr="00390837">
              <w:rPr>
                <w:rFonts w:ascii="Times New Roman" w:eastAsia="SimSun" w:hAnsi="Times New Roman" w:cs="Times New Roman"/>
                <w:kern w:val="2"/>
                <w:sz w:val="20"/>
                <w:szCs w:val="20"/>
                <w:lang w:val="en-GB" w:eastAsia="zh-CN"/>
              </w:rPr>
              <w:t xml:space="preserve">, </w:t>
            </w:r>
            <w:r w:rsidRPr="00785D8B">
              <w:rPr>
                <w:rFonts w:ascii="Times New Roman" w:eastAsia="SimSun" w:hAnsi="Times New Roman" w:cs="Times New Roman"/>
                <w:kern w:val="2"/>
                <w:sz w:val="20"/>
                <w:szCs w:val="20"/>
                <w:u w:val="single"/>
                <w:lang w:val="en-GB" w:eastAsia="zh-CN"/>
              </w:rPr>
              <w:t xml:space="preserve">the UE assumes SS/PBCH block transmission according to </w:t>
            </w:r>
            <w:r w:rsidR="004172F2" w:rsidRPr="00785D8B">
              <w:rPr>
                <w:rFonts w:ascii="Times New Roman" w:eastAsia="SimSun" w:hAnsi="Times New Roman" w:cs="Times New Roman"/>
                <w:color w:val="FF0000"/>
                <w:kern w:val="2"/>
                <w:sz w:val="20"/>
                <w:szCs w:val="20"/>
                <w:u w:val="single"/>
                <w:lang w:val="en-GB" w:eastAsia="zh-CN"/>
              </w:rPr>
              <w:t>candidate</w:t>
            </w:r>
            <w:r w:rsidR="004172F2" w:rsidRPr="00B54AA0">
              <w:rPr>
                <w:rFonts w:ascii="Times New Roman" w:eastAsia="SimSun" w:hAnsi="Times New Roman" w:cs="Times New Roman"/>
                <w:color w:val="FF0000"/>
                <w:kern w:val="2"/>
                <w:sz w:val="20"/>
                <w:szCs w:val="20"/>
                <w:u w:val="single"/>
                <w:lang w:val="en-GB" w:eastAsia="zh-CN"/>
              </w:rPr>
              <w:t xml:space="preserve"> </w:t>
            </w:r>
            <w:r w:rsidRPr="00ED20EF">
              <w:rPr>
                <w:rFonts w:ascii="Times New Roman" w:eastAsia="SimSun" w:hAnsi="Times New Roman" w:cs="Times New Roman"/>
                <w:color w:val="FF0000"/>
                <w:kern w:val="2"/>
                <w:sz w:val="20"/>
                <w:szCs w:val="20"/>
                <w:u w:val="single"/>
                <w:lang w:val="en-GB" w:eastAsia="zh-CN"/>
              </w:rPr>
              <w:t xml:space="preserve">SS/PBCH positions </w:t>
            </w:r>
            <w:r w:rsidR="00C35761">
              <w:rPr>
                <w:rFonts w:ascii="Times New Roman" w:eastAsia="SimSun" w:hAnsi="Times New Roman" w:cs="Times New Roman"/>
                <w:color w:val="FF0000"/>
                <w:kern w:val="2"/>
                <w:sz w:val="20"/>
                <w:szCs w:val="20"/>
                <w:u w:val="single"/>
                <w:lang w:val="en-GB" w:eastAsia="zh-CN"/>
              </w:rPr>
              <w:t>according to</w:t>
            </w:r>
            <w:r>
              <w:rPr>
                <w:rFonts w:ascii="Times New Roman" w:eastAsia="SimSun" w:hAnsi="Times New Roman" w:cs="Times New Roman"/>
                <w:kern w:val="2"/>
                <w:sz w:val="20"/>
                <w:szCs w:val="20"/>
                <w:u w:val="single"/>
                <w:lang w:val="en-GB" w:eastAsia="zh-CN"/>
              </w:rPr>
              <w:t xml:space="preserve"> </w:t>
            </w:r>
            <w:r w:rsidRPr="00785D8B">
              <w:rPr>
                <w:rFonts w:ascii="Times New Roman" w:eastAsia="SimSun" w:hAnsi="Times New Roman" w:cs="Times New Roman"/>
                <w:i/>
                <w:color w:val="000000"/>
                <w:kern w:val="2"/>
                <w:sz w:val="20"/>
                <w:szCs w:val="20"/>
                <w:u w:val="single"/>
                <w:lang w:val="en-GB" w:eastAsia="zh-CN"/>
              </w:rPr>
              <w:t>ssb-PositionsInBurst</w:t>
            </w:r>
            <w:r w:rsidRPr="00390837">
              <w:rPr>
                <w:rFonts w:ascii="Times New Roman" w:eastAsia="SimSun" w:hAnsi="Times New Roman" w:cs="Times New Roman"/>
                <w:kern w:val="2"/>
                <w:sz w:val="20"/>
                <w:szCs w:val="20"/>
                <w:lang w:val="en-GB" w:eastAsia="zh-CN"/>
              </w:rPr>
              <w:t xml:space="preserve">, and if the PDSCH resource allocation overlaps with </w:t>
            </w:r>
            <w:r w:rsidRPr="00785D8B">
              <w:rPr>
                <w:rFonts w:ascii="Times New Roman" w:eastAsia="SimSun" w:hAnsi="Times New Roman" w:cs="Times New Roman"/>
                <w:kern w:val="2"/>
                <w:sz w:val="20"/>
                <w:szCs w:val="20"/>
                <w:u w:val="single"/>
                <w:lang w:val="en-GB" w:eastAsia="zh-CN"/>
              </w:rPr>
              <w:t>PRBs containing SS/PBCH block transmission resources</w:t>
            </w:r>
            <w:r w:rsidRPr="00390837">
              <w:rPr>
                <w:rFonts w:ascii="Times New Roman" w:eastAsia="SimSun" w:hAnsi="Times New Roman" w:cs="Times New Roman"/>
                <w:kern w:val="2"/>
                <w:sz w:val="20"/>
                <w:szCs w:val="20"/>
                <w:lang w:val="en-GB" w:eastAsia="zh-CN"/>
              </w:rPr>
              <w:t xml:space="preserve"> the UE shall assume that </w:t>
            </w:r>
            <w:r w:rsidRPr="00390837">
              <w:rPr>
                <w:rFonts w:ascii="Times New Roman" w:eastAsia="SimSun" w:hAnsi="Times New Roman" w:cs="Times New Roman"/>
                <w:color w:val="000000"/>
                <w:kern w:val="2"/>
                <w:sz w:val="20"/>
                <w:szCs w:val="20"/>
                <w:lang w:val="en-GB" w:eastAsia="zh-CN"/>
              </w:rPr>
              <w:t>the PRBs containing SS/PBCH block transmission resources are not available for PDSCH</w:t>
            </w:r>
            <w:r w:rsidRPr="00390837">
              <w:rPr>
                <w:rFonts w:ascii="Times New Roman" w:eastAsia="SimSun" w:hAnsi="Times New Roman" w:cs="Times New Roman"/>
                <w:kern w:val="2"/>
                <w:sz w:val="20"/>
                <w:szCs w:val="20"/>
                <w:lang w:val="en-GB" w:eastAsia="zh-CN"/>
              </w:rPr>
              <w:t xml:space="preserve"> in the OFDM symbols where SS/PBCH block is transmitted.</w:t>
            </w:r>
          </w:p>
          <w:p w14:paraId="6C5CCFEA" w14:textId="77777777" w:rsidR="00BE583E" w:rsidRPr="00390837" w:rsidRDefault="00BE583E" w:rsidP="00BE583E">
            <w:pPr>
              <w:spacing w:after="180" w:line="240" w:lineRule="auto"/>
              <w:jc w:val="both"/>
              <w:rPr>
                <w:rFonts w:ascii="Times New Roman" w:eastAsia="Times New Roman" w:hAnsi="Times New Roman" w:cs="Times New Roman"/>
                <w:color w:val="000000"/>
                <w:sz w:val="20"/>
                <w:szCs w:val="20"/>
                <w:lang w:val="en-GB"/>
              </w:rPr>
            </w:pPr>
            <w:r w:rsidRPr="00390837">
              <w:rPr>
                <w:rFonts w:ascii="Times New Roman" w:eastAsia="Times New Roman" w:hAnsi="Times New Roman" w:cs="Times New Roman"/>
                <w:color w:val="000000"/>
                <w:sz w:val="20"/>
                <w:szCs w:val="20"/>
                <w:lang w:val="en-GB"/>
              </w:rPr>
              <w:t xml:space="preserve">A UE expects a configuration provided by </w:t>
            </w:r>
            <w:r w:rsidRPr="00390837">
              <w:rPr>
                <w:rFonts w:ascii="Times New Roman" w:eastAsia="Times New Roman" w:hAnsi="Times New Roman" w:cs="Times New Roman"/>
                <w:i/>
                <w:color w:val="000000"/>
                <w:sz w:val="20"/>
                <w:szCs w:val="20"/>
                <w:lang w:val="en-GB"/>
              </w:rPr>
              <w:t>ssb-PositionsInBurst</w:t>
            </w:r>
            <w:r w:rsidRPr="00390837">
              <w:rPr>
                <w:rFonts w:ascii="Times New Roman" w:eastAsia="Times New Roman" w:hAnsi="Times New Roman" w:cs="Times New Roman"/>
                <w:color w:val="000000"/>
                <w:sz w:val="20"/>
                <w:szCs w:val="20"/>
                <w:lang w:val="en-GB"/>
              </w:rPr>
              <w:t xml:space="preserve"> in </w:t>
            </w:r>
            <w:r w:rsidRPr="00390837">
              <w:rPr>
                <w:rFonts w:ascii="Times New Roman" w:eastAsia="Times New Roman" w:hAnsi="Times New Roman" w:cs="Times New Roman"/>
                <w:i/>
                <w:color w:val="000000"/>
                <w:sz w:val="20"/>
                <w:szCs w:val="20"/>
                <w:lang w:val="en-GB"/>
              </w:rPr>
              <w:t>ServingCellConfigCommon</w:t>
            </w:r>
            <w:r w:rsidRPr="00390837">
              <w:rPr>
                <w:rFonts w:ascii="Times New Roman" w:eastAsia="Times New Roman" w:hAnsi="Times New Roman" w:cs="Times New Roman"/>
                <w:color w:val="000000"/>
                <w:sz w:val="20"/>
                <w:szCs w:val="20"/>
                <w:lang w:val="en-GB"/>
              </w:rPr>
              <w:t xml:space="preserve"> to be same as a configuration provided by </w:t>
            </w:r>
            <w:r w:rsidRPr="00390837">
              <w:rPr>
                <w:rFonts w:ascii="Times New Roman" w:eastAsia="Times New Roman" w:hAnsi="Times New Roman" w:cs="Times New Roman"/>
                <w:i/>
                <w:color w:val="000000"/>
                <w:sz w:val="20"/>
                <w:szCs w:val="20"/>
                <w:lang w:val="en-GB"/>
              </w:rPr>
              <w:t>ssb-PositionsInBurst</w:t>
            </w:r>
            <w:r w:rsidRPr="00390837">
              <w:rPr>
                <w:rFonts w:ascii="Times New Roman" w:eastAsia="Times New Roman" w:hAnsi="Times New Roman" w:cs="Times New Roman"/>
                <w:color w:val="000000"/>
                <w:sz w:val="20"/>
                <w:szCs w:val="20"/>
                <w:lang w:val="en-GB"/>
              </w:rPr>
              <w:t xml:space="preserve"> in </w:t>
            </w:r>
            <w:r w:rsidRPr="00390837">
              <w:rPr>
                <w:rFonts w:ascii="Times New Roman" w:eastAsia="Times New Roman" w:hAnsi="Times New Roman" w:cs="Times New Roman"/>
                <w:i/>
                <w:color w:val="000000"/>
                <w:sz w:val="20"/>
                <w:szCs w:val="20"/>
                <w:lang w:val="en-GB"/>
              </w:rPr>
              <w:t>SIB1</w:t>
            </w:r>
            <w:r w:rsidRPr="00390837">
              <w:rPr>
                <w:rFonts w:ascii="Times New Roman" w:eastAsia="Times New Roman" w:hAnsi="Times New Roman" w:cs="Times New Roman"/>
                <w:color w:val="000000"/>
                <w:sz w:val="20"/>
                <w:szCs w:val="20"/>
                <w:lang w:val="en-GB"/>
              </w:rPr>
              <w:t>.</w:t>
            </w:r>
          </w:p>
          <w:p w14:paraId="3FA13620" w14:textId="2C7C17A8" w:rsidR="00BE583E" w:rsidRPr="00390837" w:rsidRDefault="00BE583E" w:rsidP="00BE583E">
            <w:pPr>
              <w:spacing w:after="180" w:line="240" w:lineRule="auto"/>
              <w:jc w:val="both"/>
              <w:rPr>
                <w:rFonts w:ascii="Times New Roman" w:eastAsia="Times New Roman" w:hAnsi="Times New Roman" w:cs="Times New Roman"/>
                <w:color w:val="000000"/>
                <w:sz w:val="20"/>
                <w:szCs w:val="20"/>
                <w:lang w:val="en-GB"/>
              </w:rPr>
            </w:pPr>
            <w:r w:rsidRPr="00390837">
              <w:rPr>
                <w:rFonts w:ascii="Times New Roman" w:eastAsia="Times New Roman" w:hAnsi="Times New Roman" w:cs="Times New Roman"/>
                <w:color w:val="000000"/>
                <w:sz w:val="20"/>
                <w:szCs w:val="20"/>
                <w:lang w:val="en-GB"/>
              </w:rPr>
              <w:t xml:space="preserve">When receiving PDSCH scheduled by PDCCH with CRC scrambled by C-RNTI, MCS-C-RNTI, CS-RNTI, or PDSCHs with SPS, the REs corresponding to the configured or dynamically indicated resources in Subclauses 5.1.4.1, </w:t>
            </w:r>
            <w:r w:rsidRPr="00390837">
              <w:rPr>
                <w:rFonts w:ascii="Times New Roman" w:eastAsia="Times New Roman" w:hAnsi="Times New Roman" w:cs="Times New Roman"/>
                <w:color w:val="000000"/>
                <w:sz w:val="20"/>
                <w:szCs w:val="20"/>
                <w:lang w:val="en-GB"/>
              </w:rPr>
              <w:lastRenderedPageBreak/>
              <w:t xml:space="preserve">5.1.4.2 are not available for PDSCH. </w:t>
            </w:r>
            <w:r w:rsidRPr="00785D8B">
              <w:rPr>
                <w:rFonts w:ascii="Times New Roman" w:eastAsia="Times New Roman" w:hAnsi="Times New Roman" w:cs="Times New Roman"/>
                <w:color w:val="000000"/>
                <w:sz w:val="20"/>
                <w:szCs w:val="20"/>
                <w:lang w:val="en-GB"/>
              </w:rPr>
              <w:t xml:space="preserve">Furthermore, </w:t>
            </w:r>
            <w:r w:rsidRPr="00785D8B">
              <w:rPr>
                <w:rFonts w:ascii="Times New Roman" w:eastAsia="Times New Roman" w:hAnsi="Times New Roman" w:cs="Times New Roman"/>
                <w:color w:val="000000"/>
                <w:sz w:val="20"/>
                <w:szCs w:val="20"/>
                <w:u w:val="single"/>
                <w:lang w:val="en-GB"/>
              </w:rPr>
              <w:t xml:space="preserve">the UE assumes SS/PBCH block transmission according to </w:t>
            </w:r>
            <w:r w:rsidR="004172F2" w:rsidRPr="00785D8B">
              <w:rPr>
                <w:rFonts w:ascii="Times New Roman" w:eastAsia="SimSun" w:hAnsi="Times New Roman" w:cs="Times New Roman"/>
                <w:color w:val="FF0000"/>
                <w:kern w:val="2"/>
                <w:sz w:val="20"/>
                <w:szCs w:val="20"/>
                <w:u w:val="single"/>
                <w:lang w:val="en-GB" w:eastAsia="zh-CN"/>
              </w:rPr>
              <w:t xml:space="preserve">candidate </w:t>
            </w:r>
            <w:r w:rsidRPr="00785D8B">
              <w:rPr>
                <w:rFonts w:ascii="Times New Roman" w:eastAsia="SimSun" w:hAnsi="Times New Roman" w:cs="Times New Roman"/>
                <w:color w:val="FF0000"/>
                <w:kern w:val="2"/>
                <w:sz w:val="20"/>
                <w:szCs w:val="20"/>
                <w:u w:val="single"/>
                <w:lang w:val="en-GB" w:eastAsia="zh-CN"/>
              </w:rPr>
              <w:t xml:space="preserve">SS/PBCH positions </w:t>
            </w:r>
            <w:r w:rsidR="00C35761">
              <w:rPr>
                <w:rFonts w:ascii="Times New Roman" w:eastAsia="SimSun" w:hAnsi="Times New Roman" w:cs="Times New Roman"/>
                <w:color w:val="FF0000"/>
                <w:kern w:val="2"/>
                <w:sz w:val="20"/>
                <w:szCs w:val="20"/>
                <w:u w:val="single"/>
                <w:lang w:val="en-GB" w:eastAsia="zh-CN"/>
              </w:rPr>
              <w:t>according to</w:t>
            </w:r>
            <w:r w:rsidRPr="00785D8B">
              <w:rPr>
                <w:rFonts w:ascii="Times New Roman" w:eastAsia="Times New Roman" w:hAnsi="Times New Roman" w:cs="Times New Roman"/>
                <w:i/>
                <w:color w:val="000000"/>
                <w:sz w:val="20"/>
                <w:szCs w:val="20"/>
                <w:u w:val="single"/>
                <w:lang w:val="en-GB"/>
              </w:rPr>
              <w:t xml:space="preserve"> ssb-PositionsInBurst</w:t>
            </w:r>
            <w:r w:rsidRPr="00390837">
              <w:rPr>
                <w:rFonts w:ascii="Times New Roman" w:eastAsia="Times New Roman" w:hAnsi="Times New Roman" w:cs="Times New Roman"/>
                <w:color w:val="000000"/>
                <w:sz w:val="20"/>
                <w:szCs w:val="20"/>
                <w:lang w:val="en-GB"/>
              </w:rPr>
              <w:t xml:space="preserve"> if the PDSCH resource allocation overlaps with PRBs containing SS/PBCH block transmission resources, the UE shall assume that the </w:t>
            </w:r>
            <w:r w:rsidRPr="00785D8B">
              <w:rPr>
                <w:rFonts w:ascii="Times New Roman" w:eastAsia="Times New Roman" w:hAnsi="Times New Roman" w:cs="Times New Roman"/>
                <w:color w:val="000000"/>
                <w:sz w:val="20"/>
                <w:szCs w:val="20"/>
                <w:u w:val="single"/>
                <w:lang w:val="en-GB"/>
              </w:rPr>
              <w:t>PRBs containing SS/PBCH block transmission resources</w:t>
            </w:r>
            <w:r w:rsidRPr="00390837">
              <w:rPr>
                <w:rFonts w:ascii="Times New Roman" w:eastAsia="Times New Roman" w:hAnsi="Times New Roman" w:cs="Times New Roman"/>
                <w:color w:val="000000"/>
                <w:sz w:val="20"/>
                <w:szCs w:val="20"/>
                <w:lang w:val="en-GB"/>
              </w:rPr>
              <w:t xml:space="preserve"> are not available for PDSCH in the OFDM symbols where SS/PBCH block is transmitted. </w:t>
            </w:r>
          </w:p>
          <w:p w14:paraId="06645637" w14:textId="4C5CDF9D" w:rsidR="00BE583E" w:rsidRDefault="00BE583E" w:rsidP="00BE583E">
            <w:pPr>
              <w:pStyle w:val="BodyText"/>
            </w:pPr>
            <w:r w:rsidRPr="00390837">
              <w:rPr>
                <w:rFonts w:ascii="Times New Roman" w:eastAsia="Times New Roman" w:hAnsi="Times New Roman" w:cs="Times New Roman"/>
                <w:color w:val="000000"/>
                <w:sz w:val="20"/>
                <w:szCs w:val="20"/>
                <w:lang w:val="en-GB"/>
              </w:rPr>
              <w:t>A UE is not expected to handle the case where PDSCH DM-RS REs are overlapping, even partially, with any RE(s) not available for PDSCH</w:t>
            </w:r>
            <w:r w:rsidRPr="00390837">
              <w:rPr>
                <w:rFonts w:ascii="Times New Roman" w:eastAsia="Times New Roman" w:hAnsi="Times New Roman" w:cs="Times New Roman"/>
                <w:i/>
                <w:color w:val="000000"/>
                <w:sz w:val="20"/>
                <w:szCs w:val="20"/>
                <w:lang w:val="en-GB"/>
              </w:rPr>
              <w:t>.</w:t>
            </w:r>
          </w:p>
        </w:tc>
      </w:tr>
    </w:tbl>
    <w:p w14:paraId="3DDBDC13" w14:textId="7FE78409" w:rsidR="00615C21" w:rsidRDefault="00615C21" w:rsidP="00B33AD2">
      <w:pPr>
        <w:pStyle w:val="BodyText"/>
      </w:pPr>
    </w:p>
    <w:p w14:paraId="71063CEF" w14:textId="48DC1371" w:rsidR="001C11FA" w:rsidRDefault="00BE583E" w:rsidP="001C11FA">
      <w:pPr>
        <w:pStyle w:val="BodyText"/>
      </w:pPr>
      <w:r>
        <w:t>T</w:t>
      </w:r>
      <w:r w:rsidR="00CF272D">
        <w:t xml:space="preserve">he UE will </w:t>
      </w:r>
      <w:r w:rsidR="003C0B3C">
        <w:t xml:space="preserve">then </w:t>
      </w:r>
      <w:r w:rsidR="00CF272D">
        <w:t xml:space="preserve">rate match around SSBs in the beginning of the </w:t>
      </w:r>
      <w:r w:rsidR="003C0B3C">
        <w:t xml:space="preserve">DRS </w:t>
      </w:r>
      <w:r w:rsidR="00CF272D">
        <w:t xml:space="preserve">window based on ssb-PositionsInBurst </w:t>
      </w:r>
      <w:r w:rsidR="007F0B4A">
        <w:t>(i.e., up to a maximum of 7 candidate SS/PBCH block positions)</w:t>
      </w:r>
      <w:r w:rsidR="003C0B3C">
        <w:t>. During the rest of the DRS window, the UE will rate match around SSBs</w:t>
      </w:r>
      <w:r w:rsidR="007F0B4A">
        <w:t xml:space="preserve"> </w:t>
      </w:r>
      <w:r w:rsidR="00CF272D">
        <w:t>based on</w:t>
      </w:r>
      <w:r w:rsidR="003C0B3C">
        <w:t xml:space="preserve">ly </w:t>
      </w:r>
      <w:r w:rsidR="00CF272D">
        <w:t xml:space="preserve">on dynamically </w:t>
      </w:r>
      <w:r>
        <w:t xml:space="preserve">and semi-statically </w:t>
      </w:r>
      <w:r w:rsidR="00CF272D">
        <w:t>indicated resources not available for PDSCH</w:t>
      </w:r>
      <w:r w:rsidR="003C0B3C">
        <w:t xml:space="preserve">. </w:t>
      </w:r>
      <w:r w:rsidR="00B33AD2" w:rsidRPr="001C585A">
        <w:t xml:space="preserve">It should be noted that in many cases rate matching PDSCH around SS/PBCH Block(s) are not possible anyway due to that resources in the </w:t>
      </w:r>
      <w:r w:rsidR="00D718C3">
        <w:t>slot</w:t>
      </w:r>
      <w:r w:rsidR="00B33AD2" w:rsidRPr="001C585A">
        <w:t xml:space="preserve"> are used to transmit e.g. </w:t>
      </w:r>
      <w:r w:rsidR="00B33AD2">
        <w:t>SIB1</w:t>
      </w:r>
      <w:r w:rsidR="00B33AD2" w:rsidRPr="001C585A">
        <w:t xml:space="preserve">. </w:t>
      </w:r>
    </w:p>
    <w:p w14:paraId="19578AFB" w14:textId="5A7B7FC0" w:rsidR="001C11FA" w:rsidRDefault="001C11FA" w:rsidP="00ED20EF">
      <w:pPr>
        <w:pStyle w:val="Heading2"/>
      </w:pPr>
      <w:r>
        <w:t>4.3 Transmission restrictions</w:t>
      </w:r>
    </w:p>
    <w:p w14:paraId="5AACEBF3" w14:textId="548B0B4B" w:rsidR="00A73535" w:rsidRDefault="00A73535" w:rsidP="007F26A0">
      <w:pPr>
        <w:pStyle w:val="BodyText"/>
      </w:pPr>
      <w:r>
        <w:t xml:space="preserve">In </w:t>
      </w:r>
      <w:r>
        <w:fldChar w:fldCharType="begin"/>
      </w:r>
      <w:r>
        <w:instrText xml:space="preserve"> REF _Ref21348962 \r \h </w:instrText>
      </w:r>
      <w:r>
        <w:fldChar w:fldCharType="separate"/>
      </w:r>
      <w:r w:rsidR="009200D5">
        <w:t>[8]</w:t>
      </w:r>
      <w:r>
        <w:fldChar w:fldCharType="end"/>
      </w:r>
      <w:r>
        <w:t xml:space="preserve"> we discuss modified rules for RRC configured UL transmissions in general</w:t>
      </w:r>
      <w:r w:rsidR="008D0089">
        <w:t xml:space="preserve"> (including controlling behavior in the DRS transmission window)</w:t>
      </w:r>
      <w:r>
        <w:t xml:space="preserve">. Here we focus </w:t>
      </w:r>
      <w:r w:rsidR="008A37D9">
        <w:t>on</w:t>
      </w:r>
      <w:r>
        <w:t xml:space="preserve"> </w:t>
      </w:r>
      <w:r w:rsidR="008D0089">
        <w:t>rules related to ssb-PositionsInBurst, that is</w:t>
      </w:r>
      <w:r w:rsidR="004567F1">
        <w:t>,</w:t>
      </w:r>
      <w:r w:rsidR="008D0089">
        <w:t xml:space="preserve"> cases </w:t>
      </w:r>
      <w:r w:rsidR="006A7167">
        <w:t>2</w:t>
      </w:r>
      <w:r w:rsidR="00CD3127">
        <w:t>cde</w:t>
      </w:r>
      <w:r w:rsidR="001C11FA">
        <w:t>f</w:t>
      </w:r>
      <w:r w:rsidR="006A7167">
        <w:t xml:space="preserve"> above.</w:t>
      </w:r>
    </w:p>
    <w:p w14:paraId="566E05D4" w14:textId="753D20DF" w:rsidR="001C11FA" w:rsidRDefault="001C11FA" w:rsidP="001C11FA">
      <w:pPr>
        <w:pStyle w:val="BodyText"/>
      </w:pPr>
      <w:r w:rsidRPr="001C585A">
        <w:t xml:space="preserve">In </w:t>
      </w:r>
      <w:r>
        <w:t>the DRS transmission</w:t>
      </w:r>
      <w:r w:rsidRPr="001C585A">
        <w:t xml:space="preserve"> window, the UE can expect (pending LBT outcome) the </w:t>
      </w:r>
      <w:r>
        <w:t xml:space="preserve">SSBs and the corresponding RMSI </w:t>
      </w:r>
      <w:r w:rsidRPr="001C585A">
        <w:t xml:space="preserve">to be transmitted. To avoid the gNB and UE competing for transmission resources in this window, it is judged valuable to restrict </w:t>
      </w:r>
      <w:r w:rsidR="0012121E">
        <w:t>configured</w:t>
      </w:r>
      <w:r w:rsidRPr="001C585A">
        <w:t xml:space="preserve"> </w:t>
      </w:r>
      <w:r w:rsidR="0012121E">
        <w:t>UL</w:t>
      </w:r>
      <w:r w:rsidRPr="001C585A">
        <w:t xml:space="preserve"> transmissions </w:t>
      </w:r>
      <w:r w:rsidR="0012121E">
        <w:t xml:space="preserve">(CUL) </w:t>
      </w:r>
      <w:r w:rsidRPr="001C585A">
        <w:t xml:space="preserve">in </w:t>
      </w:r>
      <w:r>
        <w:t>the</w:t>
      </w:r>
      <w:r w:rsidRPr="001C585A">
        <w:t xml:space="preserve"> window, such as </w:t>
      </w:r>
      <w:r>
        <w:t xml:space="preserve">e.g. </w:t>
      </w:r>
      <w:r w:rsidRPr="001C585A">
        <w:t xml:space="preserve">PRACH, SR, and CG transmissions. </w:t>
      </w:r>
      <w:r>
        <w:t>Such transmissions</w:t>
      </w:r>
      <w:r w:rsidRPr="001C585A">
        <w:t xml:space="preserve"> are given preconfigured transmission opportunities </w:t>
      </w:r>
      <w:r>
        <w:t>hence</w:t>
      </w:r>
      <w:r w:rsidRPr="001C585A">
        <w:t xml:space="preserve"> it might be difficult to avoid </w:t>
      </w:r>
      <w:r>
        <w:t xml:space="preserve">configuration </w:t>
      </w:r>
      <w:r w:rsidRPr="001C585A">
        <w:t xml:space="preserve">in the </w:t>
      </w:r>
      <w:r>
        <w:t>DRS transmission</w:t>
      </w:r>
      <w:r w:rsidRPr="001C585A">
        <w:t xml:space="preserve"> window. Rather than modifying the configuration of such </w:t>
      </w:r>
      <w:r>
        <w:t>signals</w:t>
      </w:r>
      <w:r w:rsidRPr="001C585A">
        <w:t>, it is proposed to specify new behavior such that the UE would simply avoid autonomous transmissions in the DRS transmission window.</w:t>
      </w:r>
    </w:p>
    <w:p w14:paraId="5184939A" w14:textId="77777777" w:rsidR="00A07209" w:rsidRDefault="00A07209" w:rsidP="001C11FA">
      <w:pPr>
        <w:pStyle w:val="BodyText"/>
      </w:pPr>
    </w:p>
    <w:p w14:paraId="77C83389" w14:textId="09DF32D2" w:rsidR="001C11FA" w:rsidRPr="00ED20EF" w:rsidRDefault="00C46D10" w:rsidP="007F26A0">
      <w:pPr>
        <w:pStyle w:val="BodyText"/>
        <w:rPr>
          <w:b/>
        </w:rPr>
      </w:pPr>
      <w:r w:rsidRPr="00ED20EF">
        <w:rPr>
          <w:b/>
          <w:lang w:val="en-GB"/>
        </w:rPr>
        <w:t xml:space="preserve">Invalidation of </w:t>
      </w:r>
      <w:r>
        <w:rPr>
          <w:b/>
          <w:lang w:val="en-GB"/>
        </w:rPr>
        <w:t>P</w:t>
      </w:r>
      <w:r w:rsidRPr="00ED20EF">
        <w:rPr>
          <w:b/>
          <w:lang w:val="en-GB"/>
        </w:rPr>
        <w:t>RACH occasions (2c)</w:t>
      </w:r>
    </w:p>
    <w:p w14:paraId="57C5C242" w14:textId="54E9DBC0" w:rsidR="000F039C" w:rsidRDefault="000F039C" w:rsidP="007F26A0">
      <w:pPr>
        <w:pStyle w:val="BodyText"/>
      </w:pPr>
      <w:r>
        <w:t>In Rel-15</w:t>
      </w:r>
      <w:r w:rsidR="00086844">
        <w:t xml:space="preserve"> PRACH occasion validation is determined by the following text in 38.213 §8.1:</w:t>
      </w:r>
    </w:p>
    <w:tbl>
      <w:tblPr>
        <w:tblStyle w:val="TableGrid"/>
        <w:tblW w:w="0" w:type="auto"/>
        <w:tblLook w:val="04A0" w:firstRow="1" w:lastRow="0" w:firstColumn="1" w:lastColumn="0" w:noHBand="0" w:noVBand="1"/>
      </w:tblPr>
      <w:tblGrid>
        <w:gridCol w:w="9629"/>
      </w:tblGrid>
      <w:tr w:rsidR="00CD3127" w14:paraId="5AEFC453" w14:textId="77777777" w:rsidTr="00CD3127">
        <w:tc>
          <w:tcPr>
            <w:tcW w:w="9629" w:type="dxa"/>
          </w:tcPr>
          <w:p w14:paraId="63EECB07" w14:textId="09762BC8" w:rsidR="00CD3127" w:rsidRPr="00ED20EF" w:rsidRDefault="00CD3127" w:rsidP="00ED20EF">
            <w:pPr>
              <w:spacing w:after="180" w:line="240" w:lineRule="auto"/>
              <w:rPr>
                <w:lang w:val="en-GB"/>
              </w:rPr>
            </w:pPr>
            <w:r w:rsidRPr="00086844">
              <w:rPr>
                <w:rFonts w:ascii="Times New Roman" w:eastAsia="Times New Roman" w:hAnsi="Times New Roman" w:cs="Times New Roman"/>
                <w:sz w:val="20"/>
                <w:szCs w:val="20"/>
                <w:lang w:val="en-GB"/>
              </w:rPr>
              <w:t xml:space="preserve">For unpaired spectrum, if a UE is not provided </w:t>
            </w:r>
            <w:proofErr w:type="spellStart"/>
            <w:r w:rsidRPr="00086844">
              <w:rPr>
                <w:rFonts w:ascii="Times New Roman" w:eastAsia="Times New Roman" w:hAnsi="Times New Roman" w:cs="Times New Roman"/>
                <w:i/>
                <w:sz w:val="20"/>
                <w:szCs w:val="20"/>
                <w:lang w:val="en-GB"/>
              </w:rPr>
              <w:t>tdd</w:t>
            </w:r>
            <w:proofErr w:type="spellEnd"/>
            <w:r w:rsidRPr="00086844">
              <w:rPr>
                <w:rFonts w:ascii="Times New Roman" w:eastAsia="Times New Roman" w:hAnsi="Times New Roman" w:cs="Times New Roman"/>
                <w:i/>
                <w:sz w:val="20"/>
                <w:szCs w:val="20"/>
                <w:lang w:val="en-GB"/>
              </w:rPr>
              <w:t>-UL-DL-</w:t>
            </w:r>
            <w:proofErr w:type="spellStart"/>
            <w:r w:rsidRPr="00086844">
              <w:rPr>
                <w:rFonts w:ascii="Times New Roman" w:eastAsia="Times New Roman" w:hAnsi="Times New Roman" w:cs="Times New Roman"/>
                <w:i/>
                <w:sz w:val="20"/>
                <w:szCs w:val="20"/>
                <w:lang w:val="en-GB"/>
              </w:rPr>
              <w:t>ConfigurationCommon</w:t>
            </w:r>
            <w:proofErr w:type="spellEnd"/>
            <w:r w:rsidRPr="00086844">
              <w:rPr>
                <w:rFonts w:ascii="Times New Roman" w:eastAsia="Times New Roman" w:hAnsi="Times New Roman" w:cs="Times New Roman"/>
                <w:sz w:val="20"/>
                <w:szCs w:val="20"/>
                <w:lang w:val="en-GB"/>
              </w:rPr>
              <w:t xml:space="preserve">, a PRACH occasion in a PRACH slot is valid if it </w:t>
            </w:r>
            <w:r w:rsidRPr="00ED20EF">
              <w:rPr>
                <w:rFonts w:ascii="Times New Roman" w:eastAsia="Times New Roman" w:hAnsi="Times New Roman" w:cs="Times New Roman"/>
                <w:sz w:val="20"/>
                <w:szCs w:val="20"/>
                <w:u w:val="single"/>
                <w:lang w:val="en-GB"/>
              </w:rPr>
              <w:t xml:space="preserve">does not precede a SS/PBCH block in the PRACH slot and starts at least </w:t>
            </w:r>
            <w:r w:rsidRPr="00347069">
              <w:rPr>
                <w:rFonts w:ascii="Times New Roman" w:eastAsia="Times New Roman" w:hAnsi="Times New Roman" w:cs="Times New Roman"/>
                <w:position w:val="-12"/>
                <w:sz w:val="20"/>
                <w:szCs w:val="20"/>
                <w:u w:val="single"/>
                <w:lang w:val="en-GB"/>
              </w:rPr>
              <w:object w:dxaOrig="435" w:dyaOrig="315" w14:anchorId="268F424F">
                <v:shape id="_x0000_i1035" type="#_x0000_t75" style="width:22.05pt;height:15.6pt" o:ole="">
                  <v:imagedata r:id="rId30" o:title=""/>
                </v:shape>
                <o:OLEObject Type="Embed" ProgID="Equation.3" ShapeID="_x0000_i1035" DrawAspect="Content" ObjectID="_1634754143" r:id="rId31"/>
              </w:object>
            </w:r>
            <w:r w:rsidRPr="00ED20EF">
              <w:rPr>
                <w:rFonts w:ascii="Times New Roman" w:eastAsia="Times New Roman" w:hAnsi="Times New Roman" w:cs="Times New Roman"/>
                <w:sz w:val="20"/>
                <w:szCs w:val="20"/>
                <w:u w:val="single"/>
                <w:lang w:val="en-GB"/>
              </w:rPr>
              <w:t xml:space="preserve"> symbols after a last SS/PBCH block reception symbol,</w:t>
            </w:r>
            <w:r w:rsidRPr="00086844">
              <w:rPr>
                <w:rFonts w:ascii="Times New Roman" w:eastAsia="Times New Roman" w:hAnsi="Times New Roman" w:cs="Times New Roman"/>
                <w:sz w:val="20"/>
                <w:szCs w:val="20"/>
                <w:lang w:val="en-GB"/>
              </w:rPr>
              <w:t xml:space="preserve"> where </w:t>
            </w:r>
            <w:r w:rsidRPr="00086844">
              <w:rPr>
                <w:rFonts w:ascii="Times New Roman" w:eastAsia="Times New Roman" w:hAnsi="Times New Roman" w:cs="Times New Roman"/>
                <w:position w:val="-12"/>
                <w:sz w:val="20"/>
                <w:szCs w:val="20"/>
                <w:lang w:val="en-GB"/>
              </w:rPr>
              <w:object w:dxaOrig="435" w:dyaOrig="315" w14:anchorId="60EFAA03">
                <v:shape id="_x0000_i1036" type="#_x0000_t75" style="width:22.05pt;height:15.6pt" o:ole="">
                  <v:imagedata r:id="rId30" o:title=""/>
                </v:shape>
                <o:OLEObject Type="Embed" ProgID="Equation.3" ShapeID="_x0000_i1036" DrawAspect="Content" ObjectID="_1634754144" r:id="rId32"/>
              </w:object>
            </w:r>
            <w:r w:rsidRPr="00086844">
              <w:rPr>
                <w:rFonts w:ascii="Times New Roman" w:eastAsia="Times New Roman" w:hAnsi="Times New Roman" w:cs="Times New Roman"/>
                <w:sz w:val="20"/>
                <w:szCs w:val="20"/>
                <w:lang w:val="en-GB"/>
              </w:rPr>
              <w:t xml:space="preserve"> is provided in Table 8.1-2.</w:t>
            </w:r>
          </w:p>
        </w:tc>
      </w:tr>
    </w:tbl>
    <w:p w14:paraId="583B242A" w14:textId="77777777" w:rsidR="001C11FA" w:rsidRDefault="001C11FA" w:rsidP="001C11FA">
      <w:pPr>
        <w:pStyle w:val="BodyText"/>
      </w:pPr>
    </w:p>
    <w:p w14:paraId="264B8683" w14:textId="64DBD85B" w:rsidR="001C11FA" w:rsidRDefault="00C46D10" w:rsidP="001C11FA">
      <w:pPr>
        <w:pStyle w:val="BodyText"/>
      </w:pPr>
      <w:r>
        <w:t>W</w:t>
      </w:r>
      <w:r w:rsidR="001C11FA">
        <w:t xml:space="preserve">e observe that for PRACH also IDLE/INACTIVE UEs' transmissions need to be suppressed. Because there are very limited signaling options for IDLE/INACTIVE UEs, we propose that for PRACH, a static rule invalidating </w:t>
      </w:r>
      <w:r>
        <w:t xml:space="preserve">all </w:t>
      </w:r>
      <w:r w:rsidR="001C11FA">
        <w:t xml:space="preserve">PRACH occasions in the DRS transmission window is added to 38.213. </w:t>
      </w:r>
    </w:p>
    <w:p w14:paraId="3A7415F3" w14:textId="00A633CD" w:rsidR="001C11FA" w:rsidRDefault="001C11FA" w:rsidP="001C11FA">
      <w:pPr>
        <w:pStyle w:val="Proposal"/>
      </w:pPr>
      <w:bookmarkStart w:id="31" w:name="_Toc24104657"/>
      <w:r>
        <w:t>Any PRACH occasion that overlaps with the DRS transmission window (</w:t>
      </w:r>
      <w:bookmarkStart w:id="32" w:name="_Hlk24102985"/>
      <w:r>
        <w:t xml:space="preserve">if </w:t>
      </w:r>
      <w:r w:rsidR="00C46D10" w:rsidRPr="00785D8B">
        <w:rPr>
          <w:i/>
        </w:rPr>
        <w:t>DRS-WindowLength-</w:t>
      </w:r>
      <w:r w:rsidR="00C46D10" w:rsidRPr="00785D8B">
        <w:t>r16</w:t>
      </w:r>
      <w:r w:rsidR="00C46D10">
        <w:t xml:space="preserve"> is </w:t>
      </w:r>
      <w:r>
        <w:t>configured</w:t>
      </w:r>
      <w:bookmarkEnd w:id="32"/>
      <w:r>
        <w:t>) shall be considered invalid.</w:t>
      </w:r>
      <w:bookmarkEnd w:id="31"/>
    </w:p>
    <w:p w14:paraId="18E59B75" w14:textId="21409C40" w:rsidR="00C46D10" w:rsidRPr="00ED20EF" w:rsidRDefault="00C46D10" w:rsidP="007F26A0">
      <w:pPr>
        <w:pStyle w:val="BodyText"/>
      </w:pPr>
      <w:r>
        <w:t xml:space="preserve">Note that this requires, as currently stated in the endorsed RRC parameter list </w:t>
      </w:r>
      <w:r>
        <w:fldChar w:fldCharType="begin"/>
      </w:r>
      <w:r>
        <w:instrText xml:space="preserve"> REF _Ref23765939 \r \h </w:instrText>
      </w:r>
      <w:r>
        <w:fldChar w:fldCharType="separate"/>
      </w:r>
      <w:r w:rsidR="009200D5">
        <w:t>[11]</w:t>
      </w:r>
      <w:r>
        <w:fldChar w:fldCharType="end"/>
      </w:r>
      <w:r>
        <w:t xml:space="preserve">, </w:t>
      </w:r>
      <w:r w:rsidRPr="00785D8B">
        <w:rPr>
          <w:i/>
        </w:rPr>
        <w:t>DRS-WindowLength-</w:t>
      </w:r>
      <w:r w:rsidRPr="00ED20EF">
        <w:t>r16</w:t>
      </w:r>
      <w:r>
        <w:t xml:space="preserve"> </w:t>
      </w:r>
      <w:r w:rsidRPr="00B54AA0">
        <w:t>to</w:t>
      </w:r>
      <w:r>
        <w:t xml:space="preserve"> be signaled in </w:t>
      </w:r>
      <w:r w:rsidRPr="00785D8B">
        <w:rPr>
          <w:i/>
        </w:rPr>
        <w:t>ServingCellConfigCommon</w:t>
      </w:r>
      <w:r>
        <w:t xml:space="preserve"> and </w:t>
      </w:r>
      <w:r w:rsidRPr="00785D8B">
        <w:rPr>
          <w:i/>
        </w:rPr>
        <w:t>ServingCellConfigCommonSIB</w:t>
      </w:r>
    </w:p>
    <w:p w14:paraId="05955496" w14:textId="77777777" w:rsidR="00C46D10" w:rsidRDefault="00C46D10" w:rsidP="007F26A0">
      <w:pPr>
        <w:pStyle w:val="BodyText"/>
        <w:rPr>
          <w:b/>
        </w:rPr>
      </w:pPr>
    </w:p>
    <w:p w14:paraId="49BA7406" w14:textId="15D148E1" w:rsidR="00CD3127" w:rsidRPr="00ED20EF" w:rsidRDefault="00C46D10" w:rsidP="007F26A0">
      <w:pPr>
        <w:pStyle w:val="BodyText"/>
        <w:rPr>
          <w:b/>
        </w:rPr>
      </w:pPr>
      <w:r w:rsidRPr="00ED20EF">
        <w:rPr>
          <w:b/>
        </w:rPr>
        <w:t>Suppression of UL transmissions (2d)</w:t>
      </w:r>
    </w:p>
    <w:p w14:paraId="720E0304" w14:textId="74B0E8E7" w:rsidR="00086844" w:rsidRDefault="00086844" w:rsidP="007F26A0">
      <w:pPr>
        <w:pStyle w:val="BodyText"/>
        <w:rPr>
          <w:lang w:val="en-GB"/>
        </w:rPr>
      </w:pPr>
      <w:r>
        <w:rPr>
          <w:lang w:val="en-GB"/>
        </w:rPr>
        <w:t>In Rel-15 UL transmissions are restricted by the following text in 38.213 §11.1:</w:t>
      </w:r>
    </w:p>
    <w:tbl>
      <w:tblPr>
        <w:tblStyle w:val="TableGrid"/>
        <w:tblW w:w="0" w:type="auto"/>
        <w:tblLook w:val="04A0" w:firstRow="1" w:lastRow="0" w:firstColumn="1" w:lastColumn="0" w:noHBand="0" w:noVBand="1"/>
      </w:tblPr>
      <w:tblGrid>
        <w:gridCol w:w="9629"/>
      </w:tblGrid>
      <w:tr w:rsidR="00CD3127" w14:paraId="3F5E5757" w14:textId="77777777" w:rsidTr="00CD3127">
        <w:tc>
          <w:tcPr>
            <w:tcW w:w="9629" w:type="dxa"/>
          </w:tcPr>
          <w:p w14:paraId="72804EDD" w14:textId="61219F3E" w:rsidR="00CD3127" w:rsidRDefault="00CD3127" w:rsidP="007F26A0">
            <w:pPr>
              <w:pStyle w:val="BodyText"/>
              <w:rPr>
                <w:lang w:val="en-GB"/>
              </w:rPr>
            </w:pPr>
            <w:r w:rsidRPr="00785D8B">
              <w:rPr>
                <w:rFonts w:ascii="Times New Roman" w:eastAsia="Calibri" w:hAnsi="Times New Roman" w:cs="Times New Roman"/>
                <w:sz w:val="20"/>
                <w:szCs w:val="20"/>
              </w:rPr>
              <w:lastRenderedPageBreak/>
              <w:t xml:space="preserve">For </w:t>
            </w:r>
            <w:r w:rsidRPr="00785D8B">
              <w:rPr>
                <w:rFonts w:ascii="Times New Roman" w:eastAsia="Calibri" w:hAnsi="Times New Roman" w:cs="Times New Roman"/>
                <w:sz w:val="20"/>
                <w:szCs w:val="20"/>
                <w:lang w:val="fi-FI"/>
              </w:rPr>
              <w:t xml:space="preserve">operation on a single carrier in unpaired spectrum, for </w:t>
            </w:r>
            <w:r w:rsidRPr="00785D8B">
              <w:rPr>
                <w:rFonts w:ascii="Times New Roman" w:eastAsia="Calibri" w:hAnsi="Times New Roman" w:cs="Times New Roman"/>
                <w:sz w:val="20"/>
                <w:szCs w:val="20"/>
              </w:rPr>
              <w:t xml:space="preserve">a </w:t>
            </w:r>
            <w:r w:rsidRPr="00ED20EF">
              <w:rPr>
                <w:rFonts w:ascii="Times New Roman" w:eastAsia="Calibri" w:hAnsi="Times New Roman" w:cs="Times New Roman"/>
                <w:sz w:val="20"/>
                <w:szCs w:val="20"/>
                <w:u w:val="single"/>
              </w:rPr>
              <w:t xml:space="preserve">set of symbols of a slot that are indicated to a UE by </w:t>
            </w:r>
            <w:r w:rsidRPr="00ED20EF">
              <w:rPr>
                <w:rFonts w:ascii="Times New Roman" w:eastAsia="Calibri" w:hAnsi="Times New Roman" w:cs="Times New Roman"/>
                <w:i/>
                <w:sz w:val="20"/>
                <w:szCs w:val="20"/>
                <w:u w:val="single"/>
              </w:rPr>
              <w:t>ssb-PositionsInBurst</w:t>
            </w:r>
            <w:r w:rsidRPr="00ED20EF">
              <w:rPr>
                <w:rFonts w:ascii="Times New Roman" w:eastAsia="Calibri" w:hAnsi="Times New Roman" w:cs="Times New Roman"/>
                <w:sz w:val="20"/>
                <w:szCs w:val="20"/>
                <w:u w:val="single"/>
              </w:rPr>
              <w:t xml:space="preserve"> in </w:t>
            </w:r>
            <w:r w:rsidRPr="00ED20EF">
              <w:rPr>
                <w:rFonts w:ascii="Times New Roman" w:eastAsia="Calibri" w:hAnsi="Times New Roman" w:cs="Times New Roman"/>
                <w:i/>
                <w:sz w:val="20"/>
                <w:szCs w:val="20"/>
                <w:u w:val="single"/>
              </w:rPr>
              <w:t>SIB1</w:t>
            </w:r>
            <w:r w:rsidRPr="00ED20EF">
              <w:rPr>
                <w:rFonts w:ascii="Times New Roman" w:eastAsia="Calibri" w:hAnsi="Times New Roman" w:cs="Times New Roman"/>
                <w:sz w:val="20"/>
                <w:szCs w:val="20"/>
                <w:u w:val="single"/>
              </w:rPr>
              <w:t xml:space="preserve"> or </w:t>
            </w:r>
            <w:r w:rsidRPr="00ED20EF">
              <w:rPr>
                <w:rFonts w:ascii="Times New Roman" w:eastAsia="Calibri" w:hAnsi="Times New Roman" w:cs="Times New Roman"/>
                <w:i/>
                <w:sz w:val="20"/>
                <w:szCs w:val="20"/>
                <w:u w:val="single"/>
              </w:rPr>
              <w:t>ssb-PositionsInBurst</w:t>
            </w:r>
            <w:r w:rsidRPr="00ED20EF">
              <w:rPr>
                <w:rFonts w:ascii="Times New Roman" w:eastAsia="Calibri" w:hAnsi="Times New Roman" w:cs="Times New Roman"/>
                <w:sz w:val="20"/>
                <w:szCs w:val="20"/>
                <w:u w:val="single"/>
              </w:rPr>
              <w:t xml:space="preserve"> in </w:t>
            </w:r>
            <w:r w:rsidRPr="00ED20EF">
              <w:rPr>
                <w:rFonts w:ascii="Times New Roman" w:eastAsia="Calibri" w:hAnsi="Times New Roman" w:cs="Times New Roman"/>
                <w:i/>
                <w:sz w:val="20"/>
                <w:szCs w:val="20"/>
                <w:u w:val="single"/>
              </w:rPr>
              <w:t>ServingCellConfigCommon</w:t>
            </w:r>
            <w:r w:rsidRPr="00ED20EF">
              <w:rPr>
                <w:rFonts w:ascii="Times New Roman" w:eastAsia="Calibri" w:hAnsi="Times New Roman" w:cs="Times New Roman"/>
                <w:sz w:val="20"/>
                <w:szCs w:val="20"/>
                <w:u w:val="single"/>
              </w:rPr>
              <w:t>, for reception of SS/PBCH blocks</w:t>
            </w:r>
            <w:r w:rsidRPr="00785D8B">
              <w:rPr>
                <w:rFonts w:ascii="Times New Roman" w:eastAsia="Calibri" w:hAnsi="Times New Roman" w:cs="Times New Roman"/>
                <w:sz w:val="20"/>
                <w:szCs w:val="20"/>
              </w:rPr>
              <w:t>, the UE does not transmit PUSCH, PUCCH, PRACH in the slot if a transmission would overlap with any symbol from the set of symbols and the UE does not transmit SRS in the set of symbols of the slot.</w:t>
            </w:r>
          </w:p>
        </w:tc>
      </w:tr>
    </w:tbl>
    <w:p w14:paraId="5458C09C" w14:textId="77777777" w:rsidR="00C46D10" w:rsidRPr="00ED20EF" w:rsidRDefault="00C46D10" w:rsidP="007F26A0">
      <w:pPr>
        <w:pStyle w:val="BodyText"/>
        <w:rPr>
          <w:rFonts w:ascii="Times New Roman" w:eastAsia="Calibri" w:hAnsi="Times New Roman" w:cs="Times New Roman"/>
          <w:sz w:val="20"/>
          <w:szCs w:val="20"/>
          <w:lang w:eastAsia="en-US"/>
        </w:rPr>
      </w:pPr>
    </w:p>
    <w:p w14:paraId="317CDFD1" w14:textId="62078B5F" w:rsidR="004172F2" w:rsidRDefault="000063CC" w:rsidP="004172F2">
      <w:pPr>
        <w:pStyle w:val="BodyText"/>
        <w:rPr>
          <w:lang w:val="en-GB"/>
        </w:rPr>
      </w:pPr>
      <w:r>
        <w:t xml:space="preserve">In accordance with </w:t>
      </w:r>
      <w:r>
        <w:fldChar w:fldCharType="begin"/>
      </w:r>
      <w:r>
        <w:instrText xml:space="preserve"> REF _Ref23927847 \r \h </w:instrText>
      </w:r>
      <w:r>
        <w:fldChar w:fldCharType="separate"/>
      </w:r>
      <w:r w:rsidR="009200D5">
        <w:t>Proposal 12</w:t>
      </w:r>
      <w:r>
        <w:fldChar w:fldCharType="end"/>
      </w:r>
      <w:r>
        <w:t>, the UE need to assume SS/PBCH block transmissions corresponding to candidate SS/PBCH block index in ssb-PositionsInBurst. The above text could for example be modified as</w:t>
      </w:r>
    </w:p>
    <w:tbl>
      <w:tblPr>
        <w:tblStyle w:val="TableGrid"/>
        <w:tblW w:w="0" w:type="auto"/>
        <w:tblLook w:val="04A0" w:firstRow="1" w:lastRow="0" w:firstColumn="1" w:lastColumn="0" w:noHBand="0" w:noVBand="1"/>
      </w:tblPr>
      <w:tblGrid>
        <w:gridCol w:w="9629"/>
      </w:tblGrid>
      <w:tr w:rsidR="004172F2" w14:paraId="72E1A26B" w14:textId="77777777" w:rsidTr="007009C5">
        <w:tc>
          <w:tcPr>
            <w:tcW w:w="9629" w:type="dxa"/>
          </w:tcPr>
          <w:p w14:paraId="1EA31ECF" w14:textId="4B82AAE3" w:rsidR="004172F2" w:rsidRDefault="004172F2" w:rsidP="007009C5">
            <w:pPr>
              <w:pStyle w:val="BodyText"/>
              <w:rPr>
                <w:lang w:val="en-GB"/>
              </w:rPr>
            </w:pPr>
            <w:r w:rsidRPr="00785D8B">
              <w:rPr>
                <w:rFonts w:ascii="Times New Roman" w:eastAsia="Calibri" w:hAnsi="Times New Roman" w:cs="Times New Roman"/>
                <w:sz w:val="20"/>
                <w:szCs w:val="20"/>
              </w:rPr>
              <w:t xml:space="preserve">For </w:t>
            </w:r>
            <w:r w:rsidRPr="00785D8B">
              <w:rPr>
                <w:rFonts w:ascii="Times New Roman" w:eastAsia="Calibri" w:hAnsi="Times New Roman" w:cs="Times New Roman"/>
                <w:sz w:val="20"/>
                <w:szCs w:val="20"/>
                <w:lang w:val="fi-FI"/>
              </w:rPr>
              <w:t xml:space="preserve">operation on a single carrier in unpaired spectrum, for </w:t>
            </w:r>
            <w:r w:rsidRPr="00785D8B">
              <w:rPr>
                <w:rFonts w:ascii="Times New Roman" w:eastAsia="Calibri" w:hAnsi="Times New Roman" w:cs="Times New Roman"/>
                <w:sz w:val="20"/>
                <w:szCs w:val="20"/>
              </w:rPr>
              <w:t xml:space="preserve">a </w:t>
            </w:r>
            <w:r w:rsidRPr="00785D8B">
              <w:rPr>
                <w:rFonts w:ascii="Times New Roman" w:eastAsia="Calibri" w:hAnsi="Times New Roman" w:cs="Times New Roman"/>
                <w:sz w:val="20"/>
                <w:szCs w:val="20"/>
                <w:u w:val="single"/>
              </w:rPr>
              <w:t xml:space="preserve">set of symbols of a slot that are indicated to a UE by </w:t>
            </w:r>
            <w:r w:rsidRPr="00ED20EF">
              <w:rPr>
                <w:rFonts w:ascii="Times New Roman" w:eastAsia="Calibri" w:hAnsi="Times New Roman" w:cs="Times New Roman"/>
                <w:color w:val="FF0000"/>
                <w:sz w:val="20"/>
                <w:szCs w:val="20"/>
                <w:u w:val="single"/>
              </w:rPr>
              <w:t xml:space="preserve">candidate </w:t>
            </w:r>
            <w:r w:rsidRPr="00785D8B">
              <w:rPr>
                <w:rFonts w:ascii="Times New Roman" w:eastAsia="SimSun" w:hAnsi="Times New Roman" w:cs="Times New Roman"/>
                <w:color w:val="FF0000"/>
                <w:kern w:val="2"/>
                <w:sz w:val="20"/>
                <w:szCs w:val="20"/>
                <w:u w:val="single"/>
                <w:lang w:val="en-GB"/>
              </w:rPr>
              <w:t xml:space="preserve">SS/PBCH positions </w:t>
            </w:r>
            <w:r w:rsidR="00335208">
              <w:rPr>
                <w:rFonts w:ascii="Times New Roman" w:eastAsia="SimSun" w:hAnsi="Times New Roman" w:cs="Times New Roman"/>
                <w:color w:val="FF0000"/>
                <w:kern w:val="2"/>
                <w:sz w:val="20"/>
                <w:szCs w:val="20"/>
                <w:u w:val="single"/>
                <w:lang w:val="en-GB"/>
              </w:rPr>
              <w:t>according to</w:t>
            </w:r>
            <w:r w:rsidRPr="00785D8B">
              <w:rPr>
                <w:rFonts w:ascii="Times New Roman" w:eastAsia="Calibri" w:hAnsi="Times New Roman" w:cs="Times New Roman"/>
                <w:i/>
                <w:sz w:val="20"/>
                <w:szCs w:val="20"/>
                <w:u w:val="single"/>
              </w:rPr>
              <w:t xml:space="preserve"> ssb-PositionsInBurst</w:t>
            </w:r>
            <w:r w:rsidRPr="00785D8B">
              <w:rPr>
                <w:rFonts w:ascii="Times New Roman" w:eastAsia="Calibri" w:hAnsi="Times New Roman" w:cs="Times New Roman"/>
                <w:sz w:val="20"/>
                <w:szCs w:val="20"/>
                <w:u w:val="single"/>
              </w:rPr>
              <w:t xml:space="preserve"> in </w:t>
            </w:r>
            <w:r w:rsidRPr="00785D8B">
              <w:rPr>
                <w:rFonts w:ascii="Times New Roman" w:eastAsia="Calibri" w:hAnsi="Times New Roman" w:cs="Times New Roman"/>
                <w:i/>
                <w:sz w:val="20"/>
                <w:szCs w:val="20"/>
                <w:u w:val="single"/>
              </w:rPr>
              <w:t>SIB1</w:t>
            </w:r>
            <w:r w:rsidRPr="00785D8B">
              <w:rPr>
                <w:rFonts w:ascii="Times New Roman" w:eastAsia="Calibri" w:hAnsi="Times New Roman" w:cs="Times New Roman"/>
                <w:sz w:val="20"/>
                <w:szCs w:val="20"/>
                <w:u w:val="single"/>
              </w:rPr>
              <w:t xml:space="preserve"> or </w:t>
            </w:r>
            <w:r w:rsidRPr="00785D8B">
              <w:rPr>
                <w:rFonts w:ascii="Times New Roman" w:eastAsia="Calibri" w:hAnsi="Times New Roman" w:cs="Times New Roman"/>
                <w:i/>
                <w:sz w:val="20"/>
                <w:szCs w:val="20"/>
                <w:u w:val="single"/>
              </w:rPr>
              <w:t>ssb-PositionsInBurst</w:t>
            </w:r>
            <w:r w:rsidRPr="00785D8B">
              <w:rPr>
                <w:rFonts w:ascii="Times New Roman" w:eastAsia="Calibri" w:hAnsi="Times New Roman" w:cs="Times New Roman"/>
                <w:sz w:val="20"/>
                <w:szCs w:val="20"/>
                <w:u w:val="single"/>
              </w:rPr>
              <w:t xml:space="preserve"> in </w:t>
            </w:r>
            <w:r w:rsidRPr="00785D8B">
              <w:rPr>
                <w:rFonts w:ascii="Times New Roman" w:eastAsia="Calibri" w:hAnsi="Times New Roman" w:cs="Times New Roman"/>
                <w:i/>
                <w:sz w:val="20"/>
                <w:szCs w:val="20"/>
                <w:u w:val="single"/>
              </w:rPr>
              <w:t>ServingCellConfigCommon</w:t>
            </w:r>
            <w:r w:rsidRPr="00785D8B">
              <w:rPr>
                <w:rFonts w:ascii="Times New Roman" w:eastAsia="Calibri" w:hAnsi="Times New Roman" w:cs="Times New Roman"/>
                <w:sz w:val="20"/>
                <w:szCs w:val="20"/>
                <w:u w:val="single"/>
              </w:rPr>
              <w:t>, for reception of SS/PBCH blocks</w:t>
            </w:r>
            <w:r w:rsidRPr="00785D8B">
              <w:rPr>
                <w:rFonts w:ascii="Times New Roman" w:eastAsia="Calibri" w:hAnsi="Times New Roman" w:cs="Times New Roman"/>
                <w:sz w:val="20"/>
                <w:szCs w:val="20"/>
              </w:rPr>
              <w:t>, the UE does not transmit PUSCH, PUCCH, PRACH in the slot if a transmission would overlap with any symbol from the set of symbols and the UE does not transmit SRS in the set of symbols of the slot.</w:t>
            </w:r>
          </w:p>
        </w:tc>
      </w:tr>
    </w:tbl>
    <w:p w14:paraId="24DAAE0B" w14:textId="77777777" w:rsidR="00533C5B" w:rsidRDefault="00533C5B" w:rsidP="00A97A61">
      <w:pPr>
        <w:pStyle w:val="BodyText"/>
      </w:pPr>
    </w:p>
    <w:p w14:paraId="396D621D" w14:textId="005BCB52" w:rsidR="00533C5B" w:rsidRDefault="00533C5B" w:rsidP="00D225F1">
      <w:pPr>
        <w:pStyle w:val="BodyText"/>
      </w:pPr>
      <w:r>
        <w:t xml:space="preserve">This will suppress UL transmissions in certain symbols in the beginning of the window. Note that further control of </w:t>
      </w:r>
      <w:r w:rsidR="00E05F2A">
        <w:t xml:space="preserve">configured UL </w:t>
      </w:r>
      <w:r>
        <w:t xml:space="preserve">transmissions is discussed in </w:t>
      </w:r>
      <w:r>
        <w:fldChar w:fldCharType="begin"/>
      </w:r>
      <w:r>
        <w:instrText xml:space="preserve"> REF _Ref21348962 \r \h </w:instrText>
      </w:r>
      <w:r>
        <w:fldChar w:fldCharType="separate"/>
      </w:r>
      <w:r w:rsidR="009200D5">
        <w:t>[8]</w:t>
      </w:r>
      <w:r>
        <w:fldChar w:fldCharType="end"/>
      </w:r>
      <w:r>
        <w:t>.</w:t>
      </w:r>
    </w:p>
    <w:p w14:paraId="63C6A872" w14:textId="039441EC" w:rsidR="008D0089" w:rsidRDefault="008D0089" w:rsidP="000B0101">
      <w:pPr>
        <w:pStyle w:val="BodyText"/>
      </w:pPr>
    </w:p>
    <w:p w14:paraId="07BBD373" w14:textId="2F579A21" w:rsidR="00CD3127" w:rsidRPr="00ED20EF" w:rsidRDefault="00CD3127" w:rsidP="00321409">
      <w:pPr>
        <w:pStyle w:val="BodyText"/>
        <w:rPr>
          <w:lang w:val="en-GB"/>
        </w:rPr>
      </w:pPr>
      <w:r w:rsidRPr="00ED20EF">
        <w:rPr>
          <w:b/>
          <w:lang w:val="en-GB"/>
        </w:rPr>
        <w:t>UE expectations on slot format</w:t>
      </w:r>
      <w:r>
        <w:rPr>
          <w:b/>
          <w:lang w:val="en-GB"/>
        </w:rPr>
        <w:t xml:space="preserve"> (2e)</w:t>
      </w:r>
    </w:p>
    <w:p w14:paraId="51893BED" w14:textId="44E768C0" w:rsidR="00370F79" w:rsidRDefault="00370F79" w:rsidP="00321409">
      <w:pPr>
        <w:pStyle w:val="BodyText"/>
        <w:rPr>
          <w:rFonts w:ascii="Times New Roman" w:hAnsi="Times New Roman"/>
        </w:rPr>
      </w:pPr>
      <w:r>
        <w:t>Rel-15 in addition specifies the fowling rule</w:t>
      </w:r>
      <w:r w:rsidR="00CD3127">
        <w:t xml:space="preserve"> in</w:t>
      </w:r>
      <w:r w:rsidR="00CD3127">
        <w:rPr>
          <w:lang w:val="en-GB"/>
        </w:rPr>
        <w:t xml:space="preserve"> §11.1.1 38.213</w:t>
      </w:r>
      <w:r>
        <w:rPr>
          <w:rFonts w:ascii="Times New Roman" w:hAnsi="Times New Roman"/>
        </w:rPr>
        <w:t>:</w:t>
      </w:r>
    </w:p>
    <w:tbl>
      <w:tblPr>
        <w:tblStyle w:val="TableGrid"/>
        <w:tblW w:w="0" w:type="auto"/>
        <w:tblLook w:val="04A0" w:firstRow="1" w:lastRow="0" w:firstColumn="1" w:lastColumn="0" w:noHBand="0" w:noVBand="1"/>
      </w:tblPr>
      <w:tblGrid>
        <w:gridCol w:w="9629"/>
      </w:tblGrid>
      <w:tr w:rsidR="00CD3127" w14:paraId="53D9E925" w14:textId="77777777" w:rsidTr="00CD3127">
        <w:tc>
          <w:tcPr>
            <w:tcW w:w="9629" w:type="dxa"/>
          </w:tcPr>
          <w:p w14:paraId="254143FC" w14:textId="394CD8BF" w:rsidR="00CD3127" w:rsidRDefault="00CD3127" w:rsidP="00ED20EF">
            <w:pPr>
              <w:pStyle w:val="B1"/>
              <w:ind w:left="0" w:firstLine="14"/>
            </w:pPr>
            <w:r w:rsidRPr="00785D8B">
              <w:rPr>
                <w:sz w:val="20"/>
                <w:szCs w:val="20"/>
              </w:rPr>
              <w:t xml:space="preserve">For a </w:t>
            </w:r>
            <w:r w:rsidRPr="00ED20EF">
              <w:rPr>
                <w:sz w:val="20"/>
                <w:szCs w:val="20"/>
                <w:u w:val="single"/>
              </w:rPr>
              <w:t xml:space="preserve">set of symbols of a slot </w:t>
            </w:r>
            <w:r w:rsidRPr="00ED20EF">
              <w:rPr>
                <w:sz w:val="20"/>
                <w:szCs w:val="20"/>
                <w:u w:val="single"/>
                <w:lang w:val="en-GB"/>
              </w:rPr>
              <w:t xml:space="preserve">indicated to a UE by </w:t>
            </w:r>
            <w:r w:rsidRPr="00ED20EF">
              <w:rPr>
                <w:i/>
                <w:sz w:val="20"/>
                <w:szCs w:val="20"/>
                <w:u w:val="single"/>
              </w:rPr>
              <w:t>ssb-PositionsInBurst</w:t>
            </w:r>
            <w:r w:rsidRPr="00785D8B">
              <w:rPr>
                <w:sz w:val="20"/>
                <w:szCs w:val="20"/>
              </w:rPr>
              <w:t xml:space="preserve"> in </w:t>
            </w:r>
            <w:r w:rsidRPr="00785D8B">
              <w:rPr>
                <w:i/>
                <w:sz w:val="20"/>
                <w:szCs w:val="20"/>
              </w:rPr>
              <w:t>SIB1</w:t>
            </w:r>
            <w:r w:rsidRPr="00785D8B">
              <w:rPr>
                <w:sz w:val="20"/>
                <w:szCs w:val="20"/>
              </w:rPr>
              <w:t xml:space="preserve"> or </w:t>
            </w:r>
            <w:r w:rsidRPr="00785D8B">
              <w:rPr>
                <w:i/>
                <w:sz w:val="20"/>
                <w:szCs w:val="20"/>
              </w:rPr>
              <w:t>ssb-PositionsInBurst</w:t>
            </w:r>
            <w:r w:rsidRPr="00785D8B">
              <w:rPr>
                <w:sz w:val="20"/>
                <w:szCs w:val="20"/>
              </w:rPr>
              <w:t xml:space="preserve"> in </w:t>
            </w:r>
            <w:r w:rsidRPr="00785D8B">
              <w:rPr>
                <w:i/>
                <w:sz w:val="20"/>
                <w:szCs w:val="20"/>
              </w:rPr>
              <w:t>ServingCellConfigCommon</w:t>
            </w:r>
            <w:r w:rsidRPr="00785D8B">
              <w:rPr>
                <w:sz w:val="20"/>
                <w:szCs w:val="20"/>
              </w:rPr>
              <w:t xml:space="preserve"> for reception of SS/PBCH blocks, the UE does not expect to detect a DCI format 2_0 with an SFI-index field value indicating the set of symbols of the slot</w:t>
            </w:r>
            <w:r w:rsidRPr="00785D8B">
              <w:rPr>
                <w:i/>
                <w:sz w:val="20"/>
                <w:szCs w:val="20"/>
              </w:rPr>
              <w:t xml:space="preserve"> </w:t>
            </w:r>
            <w:r w:rsidRPr="00785D8B">
              <w:rPr>
                <w:sz w:val="20"/>
                <w:szCs w:val="20"/>
              </w:rPr>
              <w:t>as uplink.</w:t>
            </w:r>
          </w:p>
        </w:tc>
      </w:tr>
    </w:tbl>
    <w:p w14:paraId="304F305D" w14:textId="77777777" w:rsidR="00CD3127" w:rsidRDefault="00CD3127" w:rsidP="00321409">
      <w:pPr>
        <w:pStyle w:val="BodyText"/>
      </w:pPr>
    </w:p>
    <w:p w14:paraId="6115CBDC" w14:textId="13C7BBCD" w:rsidR="00EE30AD" w:rsidRDefault="00EE30AD" w:rsidP="00EE30AD">
      <w:pPr>
        <w:pStyle w:val="BodyText"/>
        <w:rPr>
          <w:rFonts w:ascii="Times New Roman" w:hAnsi="Times New Roman"/>
        </w:rPr>
      </w:pPr>
      <w:proofErr w:type="gramStart"/>
      <w:r>
        <w:t>Similar to</w:t>
      </w:r>
      <w:proofErr w:type="gramEnd"/>
      <w:r>
        <w:t xml:space="preserve"> case 2</w:t>
      </w:r>
      <w:r w:rsidR="00533C5B">
        <w:t>d</w:t>
      </w:r>
      <w:r>
        <w:t xml:space="preserve"> above, the text </w:t>
      </w:r>
      <w:r w:rsidR="00942F20">
        <w:t>needs to be modified</w:t>
      </w:r>
      <w:r>
        <w:t xml:space="preserve"> when SSBs are allowed to shift in time. To be consistent with </w:t>
      </w:r>
      <w:r w:rsidR="00B54AA0">
        <w:fldChar w:fldCharType="begin"/>
      </w:r>
      <w:r w:rsidR="00B54AA0">
        <w:instrText xml:space="preserve"> REF _Ref23927847 \r \h </w:instrText>
      </w:r>
      <w:r w:rsidR="00B54AA0">
        <w:fldChar w:fldCharType="separate"/>
      </w:r>
      <w:r w:rsidR="009200D5">
        <w:t>Proposal 12</w:t>
      </w:r>
      <w:r w:rsidR="00B54AA0">
        <w:fldChar w:fldCharType="end"/>
      </w:r>
      <w:r>
        <w:t xml:space="preserve"> the text can for example be modified as:</w:t>
      </w:r>
    </w:p>
    <w:tbl>
      <w:tblPr>
        <w:tblStyle w:val="TableGrid"/>
        <w:tblW w:w="0" w:type="auto"/>
        <w:tblLook w:val="04A0" w:firstRow="1" w:lastRow="0" w:firstColumn="1" w:lastColumn="0" w:noHBand="0" w:noVBand="1"/>
      </w:tblPr>
      <w:tblGrid>
        <w:gridCol w:w="9629"/>
      </w:tblGrid>
      <w:tr w:rsidR="00EE30AD" w14:paraId="10685CA4" w14:textId="77777777" w:rsidTr="00530887">
        <w:tc>
          <w:tcPr>
            <w:tcW w:w="9629" w:type="dxa"/>
          </w:tcPr>
          <w:p w14:paraId="1C3AA212" w14:textId="6AF6A4F6" w:rsidR="00EE30AD" w:rsidRDefault="00EE30AD" w:rsidP="00530887">
            <w:pPr>
              <w:pStyle w:val="B1"/>
              <w:ind w:left="0" w:firstLine="14"/>
            </w:pPr>
            <w:r w:rsidRPr="00785D8B">
              <w:rPr>
                <w:sz w:val="20"/>
                <w:szCs w:val="20"/>
              </w:rPr>
              <w:t xml:space="preserve">For a </w:t>
            </w:r>
            <w:r w:rsidRPr="00785D8B">
              <w:rPr>
                <w:sz w:val="20"/>
                <w:szCs w:val="20"/>
                <w:u w:val="single"/>
              </w:rPr>
              <w:t xml:space="preserve">set of symbols of a slot </w:t>
            </w:r>
            <w:r w:rsidRPr="00785D8B">
              <w:rPr>
                <w:sz w:val="20"/>
                <w:szCs w:val="20"/>
                <w:u w:val="single"/>
                <w:lang w:val="en-GB"/>
              </w:rPr>
              <w:t xml:space="preserve">indicated to a UE by </w:t>
            </w:r>
            <w:r w:rsidR="008900E6" w:rsidRPr="00785D8B">
              <w:rPr>
                <w:rFonts w:eastAsia="SimSun" w:cs="Times New Roman"/>
                <w:color w:val="FF0000"/>
                <w:kern w:val="2"/>
                <w:sz w:val="20"/>
                <w:szCs w:val="20"/>
                <w:u w:val="single"/>
                <w:lang w:val="en-GB"/>
              </w:rPr>
              <w:t xml:space="preserve">candidate </w:t>
            </w:r>
            <w:r w:rsidRPr="00785D8B">
              <w:rPr>
                <w:rFonts w:eastAsia="SimSun" w:cs="Times New Roman"/>
                <w:color w:val="FF0000"/>
                <w:kern w:val="2"/>
                <w:sz w:val="20"/>
                <w:szCs w:val="20"/>
                <w:u w:val="single"/>
                <w:lang w:val="en-GB"/>
              </w:rPr>
              <w:t xml:space="preserve">SS/PBCH positions </w:t>
            </w:r>
            <w:r w:rsidR="00335208">
              <w:rPr>
                <w:rFonts w:eastAsia="SimSun" w:cs="Times New Roman"/>
                <w:color w:val="FF0000"/>
                <w:kern w:val="2"/>
                <w:sz w:val="20"/>
                <w:szCs w:val="20"/>
                <w:u w:val="single"/>
                <w:lang w:val="en-GB"/>
              </w:rPr>
              <w:t>according to</w:t>
            </w:r>
            <w:r>
              <w:rPr>
                <w:rFonts w:eastAsia="SimSun" w:cs="Times New Roman"/>
                <w:color w:val="FF0000"/>
                <w:kern w:val="2"/>
                <w:sz w:val="20"/>
                <w:szCs w:val="20"/>
                <w:u w:val="single"/>
                <w:lang w:val="en-GB"/>
              </w:rPr>
              <w:t xml:space="preserve"> </w:t>
            </w:r>
            <w:r w:rsidRPr="00785D8B">
              <w:rPr>
                <w:i/>
                <w:sz w:val="20"/>
                <w:szCs w:val="20"/>
                <w:u w:val="single"/>
              </w:rPr>
              <w:t>ssb-PositionsInBurst</w:t>
            </w:r>
            <w:r w:rsidRPr="00785D8B">
              <w:rPr>
                <w:sz w:val="20"/>
                <w:szCs w:val="20"/>
              </w:rPr>
              <w:t xml:space="preserve"> in </w:t>
            </w:r>
            <w:r w:rsidRPr="00785D8B">
              <w:rPr>
                <w:i/>
                <w:sz w:val="20"/>
                <w:szCs w:val="20"/>
              </w:rPr>
              <w:t>SIB1</w:t>
            </w:r>
            <w:r w:rsidRPr="00785D8B">
              <w:rPr>
                <w:sz w:val="20"/>
                <w:szCs w:val="20"/>
              </w:rPr>
              <w:t xml:space="preserve"> or </w:t>
            </w:r>
            <w:r w:rsidRPr="00785D8B">
              <w:rPr>
                <w:i/>
                <w:sz w:val="20"/>
                <w:szCs w:val="20"/>
              </w:rPr>
              <w:t>ssb-PositionsInBurst</w:t>
            </w:r>
            <w:r w:rsidRPr="00785D8B">
              <w:rPr>
                <w:sz w:val="20"/>
                <w:szCs w:val="20"/>
              </w:rPr>
              <w:t xml:space="preserve"> in </w:t>
            </w:r>
            <w:r w:rsidRPr="00785D8B">
              <w:rPr>
                <w:i/>
                <w:sz w:val="20"/>
                <w:szCs w:val="20"/>
              </w:rPr>
              <w:t>ServingCellConfigCommon</w:t>
            </w:r>
            <w:r w:rsidRPr="00785D8B">
              <w:rPr>
                <w:sz w:val="20"/>
                <w:szCs w:val="20"/>
              </w:rPr>
              <w:t xml:space="preserve"> for reception of SS/PBCH blocks, the UE does not expect to detect a DCI format 2_0 with an SFI-index field value indicating the set of symbols of the slot</w:t>
            </w:r>
            <w:r w:rsidRPr="00785D8B">
              <w:rPr>
                <w:i/>
                <w:sz w:val="20"/>
                <w:szCs w:val="20"/>
              </w:rPr>
              <w:t xml:space="preserve"> </w:t>
            </w:r>
            <w:r w:rsidRPr="00785D8B">
              <w:rPr>
                <w:sz w:val="20"/>
                <w:szCs w:val="20"/>
              </w:rPr>
              <w:t>as uplink.</w:t>
            </w:r>
          </w:p>
        </w:tc>
      </w:tr>
    </w:tbl>
    <w:p w14:paraId="0EB6B9BA" w14:textId="7252CBF7" w:rsidR="00EE30AD" w:rsidRDefault="00EE30AD" w:rsidP="00EE30AD">
      <w:pPr>
        <w:pStyle w:val="BodyText"/>
      </w:pPr>
    </w:p>
    <w:p w14:paraId="6D67C720" w14:textId="7029B1E2" w:rsidR="00531400" w:rsidRDefault="00531400" w:rsidP="00EE30AD">
      <w:pPr>
        <w:pStyle w:val="BodyText"/>
      </w:pPr>
      <w:r>
        <w:t xml:space="preserve">This will allow dynamic control of configured UL transmissions as discussed in </w:t>
      </w:r>
      <w:r>
        <w:fldChar w:fldCharType="begin"/>
      </w:r>
      <w:r>
        <w:instrText xml:space="preserve"> REF _Ref21348962 \r \h </w:instrText>
      </w:r>
      <w:r>
        <w:fldChar w:fldCharType="separate"/>
      </w:r>
      <w:r w:rsidR="009200D5">
        <w:t>[8]</w:t>
      </w:r>
      <w:r>
        <w:fldChar w:fldCharType="end"/>
      </w:r>
      <w:r>
        <w:t>.</w:t>
      </w:r>
    </w:p>
    <w:p w14:paraId="11F2175A" w14:textId="77777777" w:rsidR="00531400" w:rsidRDefault="00531400" w:rsidP="00EE30AD">
      <w:pPr>
        <w:pStyle w:val="BodyText"/>
      </w:pPr>
    </w:p>
    <w:p w14:paraId="5181632E" w14:textId="311D1E6D" w:rsidR="00EE30AD" w:rsidRPr="00ED20EF" w:rsidRDefault="004F0944" w:rsidP="00370F79">
      <w:pPr>
        <w:pStyle w:val="BodyText"/>
        <w:rPr>
          <w:b/>
          <w:lang w:val="en-GB"/>
        </w:rPr>
      </w:pPr>
      <w:r w:rsidRPr="00ED20EF">
        <w:rPr>
          <w:b/>
          <w:lang w:val="en-GB"/>
        </w:rPr>
        <w:t xml:space="preserve">PUCCH repetition </w:t>
      </w:r>
      <w:r w:rsidR="005F61A3">
        <w:rPr>
          <w:b/>
          <w:lang w:val="en-GB"/>
        </w:rPr>
        <w:t>(2f</w:t>
      </w:r>
      <w:r w:rsidRPr="00ED20EF">
        <w:rPr>
          <w:b/>
          <w:lang w:val="en-GB"/>
        </w:rPr>
        <w:t>)</w:t>
      </w:r>
    </w:p>
    <w:p w14:paraId="6DD5E4D4" w14:textId="00CF21B8" w:rsidR="004F0944" w:rsidRDefault="00AF6232" w:rsidP="00370F79">
      <w:pPr>
        <w:pStyle w:val="BodyText"/>
      </w:pPr>
      <w:r>
        <w:t>The procedure is basically described by the following paragraph in §</w:t>
      </w:r>
      <w:r w:rsidR="005F61A3">
        <w:t>9.2.6</w:t>
      </w:r>
      <w:r>
        <w:t xml:space="preserve"> 38.21</w:t>
      </w:r>
      <w:r w:rsidR="005F61A3">
        <w:t>3</w:t>
      </w:r>
      <w:r>
        <w:t>:</w:t>
      </w:r>
    </w:p>
    <w:tbl>
      <w:tblPr>
        <w:tblStyle w:val="TableGrid"/>
        <w:tblW w:w="0" w:type="auto"/>
        <w:tblLook w:val="04A0" w:firstRow="1" w:lastRow="0" w:firstColumn="1" w:lastColumn="0" w:noHBand="0" w:noVBand="1"/>
      </w:tblPr>
      <w:tblGrid>
        <w:gridCol w:w="9629"/>
      </w:tblGrid>
      <w:tr w:rsidR="005F61A3" w14:paraId="180E9A6B" w14:textId="77777777" w:rsidTr="005F61A3">
        <w:tc>
          <w:tcPr>
            <w:tcW w:w="9629" w:type="dxa"/>
          </w:tcPr>
          <w:p w14:paraId="5EC6CBEB" w14:textId="77777777" w:rsidR="005F61A3" w:rsidRPr="00AF6232" w:rsidRDefault="005F61A3" w:rsidP="005F61A3">
            <w:pPr>
              <w:spacing w:after="180" w:line="240" w:lineRule="auto"/>
              <w:rPr>
                <w:rFonts w:ascii="Times New Roman" w:eastAsia="Times New Roman" w:hAnsi="Times New Roman" w:cs="Times New Roman"/>
                <w:sz w:val="20"/>
                <w:szCs w:val="20"/>
              </w:rPr>
            </w:pPr>
            <w:r w:rsidRPr="00ED20EF">
              <w:rPr>
                <w:rFonts w:ascii="Times New Roman" w:eastAsia="Times New Roman" w:hAnsi="Times New Roman" w:cs="Times New Roman"/>
                <w:sz w:val="20"/>
                <w:szCs w:val="20"/>
                <w:u w:val="single"/>
              </w:rPr>
              <w:t xml:space="preserve">A SS/PBCH block symbol is a symbol indicated to a UE by </w:t>
            </w:r>
            <w:r w:rsidRPr="00ED20EF">
              <w:rPr>
                <w:rFonts w:ascii="Times New Roman" w:eastAsia="Times New Roman" w:hAnsi="Times New Roman" w:cs="Times New Roman"/>
                <w:i/>
                <w:sz w:val="20"/>
                <w:szCs w:val="20"/>
                <w:u w:val="single"/>
              </w:rPr>
              <w:t>ssb-PositionsInBurst</w:t>
            </w:r>
            <w:r w:rsidRPr="00AF6232">
              <w:rPr>
                <w:rFonts w:ascii="Times New Roman" w:eastAsia="Times New Roman" w:hAnsi="Times New Roman" w:cs="Times New Roman"/>
                <w:sz w:val="20"/>
                <w:szCs w:val="20"/>
              </w:rPr>
              <w:t xml:space="preserve"> in </w:t>
            </w:r>
            <w:r w:rsidRPr="00AF6232">
              <w:rPr>
                <w:rFonts w:ascii="Times New Roman" w:eastAsia="Times New Roman" w:hAnsi="Times New Roman" w:cs="Times New Roman"/>
                <w:i/>
                <w:sz w:val="20"/>
                <w:szCs w:val="20"/>
              </w:rPr>
              <w:t>SIB1</w:t>
            </w:r>
            <w:r w:rsidRPr="00AF6232">
              <w:rPr>
                <w:rFonts w:ascii="Times New Roman" w:eastAsia="Times New Roman" w:hAnsi="Times New Roman" w:cs="Times New Roman"/>
                <w:sz w:val="20"/>
                <w:szCs w:val="20"/>
              </w:rPr>
              <w:t xml:space="preserve"> or </w:t>
            </w:r>
            <w:r w:rsidRPr="00AF6232">
              <w:rPr>
                <w:rFonts w:ascii="Times New Roman" w:eastAsia="Times New Roman" w:hAnsi="Times New Roman" w:cs="Times New Roman"/>
                <w:i/>
                <w:sz w:val="20"/>
                <w:szCs w:val="20"/>
              </w:rPr>
              <w:t>ssb-PositionsInBurst</w:t>
            </w:r>
            <w:r w:rsidRPr="00AF6232">
              <w:rPr>
                <w:rFonts w:ascii="Times New Roman" w:eastAsia="Times New Roman" w:hAnsi="Times New Roman" w:cs="Times New Roman"/>
                <w:sz w:val="20"/>
                <w:szCs w:val="20"/>
              </w:rPr>
              <w:t xml:space="preserve"> in </w:t>
            </w:r>
            <w:r w:rsidRPr="00AF6232">
              <w:rPr>
                <w:rFonts w:ascii="Times New Roman" w:eastAsia="Times New Roman" w:hAnsi="Times New Roman" w:cs="Times New Roman"/>
                <w:i/>
                <w:sz w:val="20"/>
                <w:szCs w:val="20"/>
              </w:rPr>
              <w:t>ServingCellConfigCommon</w:t>
            </w:r>
            <w:r w:rsidRPr="00AF6232">
              <w:rPr>
                <w:rFonts w:ascii="Times New Roman" w:eastAsia="Times New Roman" w:hAnsi="Times New Roman" w:cs="Times New Roman"/>
                <w:sz w:val="20"/>
                <w:szCs w:val="20"/>
              </w:rPr>
              <w:t>.</w:t>
            </w:r>
          </w:p>
          <w:p w14:paraId="0B89D04A" w14:textId="77777777" w:rsidR="005F61A3" w:rsidRPr="00AF6232" w:rsidRDefault="005F61A3" w:rsidP="005F61A3">
            <w:pPr>
              <w:spacing w:after="180" w:line="240" w:lineRule="auto"/>
              <w:rPr>
                <w:rFonts w:ascii="Times New Roman" w:eastAsia="Times New Roman" w:hAnsi="Times New Roman" w:cs="Times New Roman"/>
                <w:sz w:val="20"/>
                <w:szCs w:val="20"/>
              </w:rPr>
            </w:pPr>
            <w:r w:rsidRPr="00AF6232">
              <w:rPr>
                <w:rFonts w:ascii="Times New Roman" w:eastAsia="Times New Roman" w:hAnsi="Times New Roman" w:cs="Times New Roman"/>
                <w:sz w:val="20"/>
                <w:szCs w:val="20"/>
              </w:rPr>
              <w:t xml:space="preserve">For unpaired spectrum, the UE determines the </w:t>
            </w:r>
            <w:r w:rsidRPr="00AF6232">
              <w:rPr>
                <w:rFonts w:ascii="Times New Roman" w:eastAsia="Times New Roman" w:hAnsi="Times New Roman" w:cs="Times New Roman"/>
                <w:position w:val="-10"/>
                <w:sz w:val="20"/>
                <w:szCs w:val="20"/>
                <w:lang w:val="en-GB"/>
              </w:rPr>
              <w:object w:dxaOrig="570" w:dyaOrig="345" w14:anchorId="328977D4">
                <v:shape id="_x0000_i1038" type="#_x0000_t75" style="width:27.4pt;height:17.2pt" o:ole="">
                  <v:imagedata r:id="rId33" o:title=""/>
                </v:shape>
                <o:OLEObject Type="Embed" ProgID="Equation.3" ShapeID="_x0000_i1038" DrawAspect="Content" ObjectID="_1634754145" r:id="rId34"/>
              </w:object>
            </w:r>
            <w:r w:rsidRPr="00AF6232">
              <w:rPr>
                <w:rFonts w:ascii="Times New Roman" w:eastAsia="Times New Roman" w:hAnsi="Times New Roman" w:cs="Times New Roman"/>
                <w:sz w:val="20"/>
                <w:szCs w:val="20"/>
              </w:rPr>
              <w:t xml:space="preserve"> slots for a PUCCH transmission starting from a slot indicated to the UE as described in Subclause 9.2.3 and having</w:t>
            </w:r>
          </w:p>
          <w:p w14:paraId="41085929" w14:textId="77777777" w:rsidR="005F61A3" w:rsidRPr="00AF6232" w:rsidRDefault="005F61A3" w:rsidP="005F61A3">
            <w:pPr>
              <w:spacing w:after="180" w:line="240" w:lineRule="auto"/>
              <w:ind w:left="568" w:hanging="284"/>
              <w:rPr>
                <w:rFonts w:ascii="CG Times (WN)" w:eastAsia="Times New Roman" w:hAnsi="CG Times (WN)" w:cs="Times New Roman"/>
                <w:sz w:val="20"/>
                <w:szCs w:val="20"/>
                <w:lang w:val="x-none"/>
              </w:rPr>
            </w:pPr>
            <w:r w:rsidRPr="00AF6232">
              <w:rPr>
                <w:rFonts w:ascii="CG Times (WN)" w:eastAsia="Times New Roman" w:hAnsi="CG Times (WN)" w:cs="Times New Roman"/>
                <w:sz w:val="20"/>
                <w:szCs w:val="20"/>
                <w:lang w:val="en-GB"/>
              </w:rPr>
              <w:t>-</w:t>
            </w:r>
            <w:r w:rsidRPr="00AF6232">
              <w:rPr>
                <w:rFonts w:ascii="CG Times (WN)" w:eastAsia="Times New Roman" w:hAnsi="CG Times (WN)" w:cs="Times New Roman"/>
                <w:sz w:val="20"/>
                <w:szCs w:val="20"/>
                <w:lang w:val="en-GB"/>
              </w:rPr>
              <w:tab/>
              <w:t>an UL symbol</w:t>
            </w:r>
            <w:r w:rsidRPr="00AF6232">
              <w:rPr>
                <w:rFonts w:ascii="CG Times (WN)" w:eastAsia="Times New Roman" w:hAnsi="CG Times (WN)" w:cs="Times New Roman"/>
                <w:sz w:val="20"/>
                <w:szCs w:val="20"/>
                <w:lang w:val="x-none"/>
              </w:rPr>
              <w:t>, as described in Subclause 11.1,</w:t>
            </w:r>
            <w:r w:rsidRPr="00AF6232">
              <w:rPr>
                <w:rFonts w:ascii="CG Times (WN)" w:eastAsia="Times New Roman" w:hAnsi="CG Times (WN)" w:cs="Times New Roman"/>
                <w:sz w:val="20"/>
                <w:szCs w:val="20"/>
                <w:lang w:val="en-GB"/>
              </w:rPr>
              <w:t xml:space="preserve"> or flexible symbol </w:t>
            </w:r>
            <w:r w:rsidRPr="00AF6232">
              <w:rPr>
                <w:rFonts w:ascii="CG Times (WN)" w:eastAsia="Times New Roman" w:hAnsi="CG Times (WN)" w:cs="Times New Roman"/>
                <w:sz w:val="20"/>
                <w:szCs w:val="20"/>
                <w:lang w:val="x-none"/>
              </w:rPr>
              <w:t xml:space="preserve">that is not SS/PBCH block symbol provided by </w:t>
            </w:r>
            <w:proofErr w:type="spellStart"/>
            <w:r w:rsidRPr="00AF6232">
              <w:rPr>
                <w:rFonts w:ascii="CG Times (WN)" w:eastAsia="Times New Roman" w:hAnsi="CG Times (WN)" w:cs="Times New Roman"/>
                <w:i/>
                <w:sz w:val="20"/>
                <w:szCs w:val="20"/>
                <w:lang w:val="x-none"/>
              </w:rPr>
              <w:t>starting</w:t>
            </w:r>
            <w:r w:rsidRPr="00AF6232">
              <w:rPr>
                <w:rFonts w:ascii="CG Times (WN)" w:eastAsia="Times New Roman" w:hAnsi="CG Times (WN)" w:cs="Times New Roman"/>
                <w:i/>
                <w:sz w:val="20"/>
                <w:szCs w:val="20"/>
              </w:rPr>
              <w:t>S</w:t>
            </w:r>
            <w:r w:rsidRPr="00AF6232">
              <w:rPr>
                <w:rFonts w:ascii="CG Times (WN)" w:eastAsia="Times New Roman" w:hAnsi="CG Times (WN)" w:cs="Times New Roman"/>
                <w:i/>
                <w:sz w:val="20"/>
                <w:szCs w:val="20"/>
                <w:lang w:val="x-none"/>
              </w:rPr>
              <w:t>ymbol</w:t>
            </w:r>
            <w:r w:rsidRPr="00AF6232">
              <w:rPr>
                <w:rFonts w:ascii="CG Times (WN)" w:eastAsia="Times New Roman" w:hAnsi="CG Times (WN)" w:cs="Times New Roman"/>
                <w:i/>
                <w:sz w:val="20"/>
                <w:szCs w:val="20"/>
              </w:rPr>
              <w:t>Index</w:t>
            </w:r>
            <w:proofErr w:type="spellEnd"/>
            <w:r w:rsidRPr="00AF6232">
              <w:rPr>
                <w:rFonts w:ascii="CG Times (WN)" w:eastAsia="Times New Roman" w:hAnsi="CG Times (WN)" w:cs="Times New Roman"/>
                <w:sz w:val="20"/>
                <w:szCs w:val="20"/>
                <w:lang w:val="x-none"/>
              </w:rPr>
              <w:t xml:space="preserve"> </w:t>
            </w:r>
            <w:r w:rsidRPr="00AF6232">
              <w:rPr>
                <w:rFonts w:ascii="CG Times (WN)" w:eastAsia="Times New Roman" w:hAnsi="CG Times (WN)" w:cs="Times New Roman"/>
                <w:sz w:val="20"/>
                <w:szCs w:val="20"/>
              </w:rPr>
              <w:t xml:space="preserve">in </w:t>
            </w:r>
            <w:r w:rsidRPr="00AF6232">
              <w:rPr>
                <w:rFonts w:ascii="CG Times (WN)" w:eastAsia="Times New Roman" w:hAnsi="CG Times (WN)" w:cs="Times New Roman"/>
                <w:i/>
                <w:sz w:val="20"/>
                <w:szCs w:val="20"/>
              </w:rPr>
              <w:t>PUCCH-format1</w:t>
            </w:r>
            <w:r w:rsidRPr="00AF6232">
              <w:rPr>
                <w:rFonts w:ascii="CG Times (WN)" w:eastAsia="Times New Roman" w:hAnsi="CG Times (WN)" w:cs="Times New Roman"/>
                <w:sz w:val="20"/>
                <w:szCs w:val="20"/>
              </w:rPr>
              <w:t xml:space="preserve">, or in </w:t>
            </w:r>
            <w:r w:rsidRPr="00AF6232">
              <w:rPr>
                <w:rFonts w:ascii="CG Times (WN)" w:eastAsia="Times New Roman" w:hAnsi="CG Times (WN)" w:cs="Times New Roman"/>
                <w:i/>
                <w:sz w:val="20"/>
                <w:szCs w:val="20"/>
              </w:rPr>
              <w:t>PUCCH-format3</w:t>
            </w:r>
            <w:r w:rsidRPr="00AF6232">
              <w:rPr>
                <w:rFonts w:ascii="CG Times (WN)" w:eastAsia="Times New Roman" w:hAnsi="CG Times (WN)" w:cs="Times New Roman"/>
                <w:sz w:val="20"/>
                <w:szCs w:val="20"/>
              </w:rPr>
              <w:t xml:space="preserve">, or in </w:t>
            </w:r>
            <w:r w:rsidRPr="00AF6232">
              <w:rPr>
                <w:rFonts w:ascii="CG Times (WN)" w:eastAsia="Times New Roman" w:hAnsi="CG Times (WN)" w:cs="Times New Roman"/>
                <w:i/>
                <w:sz w:val="20"/>
                <w:szCs w:val="20"/>
              </w:rPr>
              <w:t>PUCCH-format4</w:t>
            </w:r>
            <w:r w:rsidRPr="00AF6232">
              <w:rPr>
                <w:rFonts w:ascii="CG Times (WN)" w:eastAsia="Times New Roman" w:hAnsi="CG Times (WN)" w:cs="Times New Roman"/>
                <w:sz w:val="20"/>
                <w:szCs w:val="20"/>
              </w:rPr>
              <w:t xml:space="preserve"> as a first</w:t>
            </w:r>
            <w:r w:rsidRPr="00AF6232">
              <w:rPr>
                <w:rFonts w:ascii="CG Times (WN)" w:eastAsia="Times New Roman" w:hAnsi="CG Times (WN)" w:cs="Times New Roman"/>
                <w:sz w:val="20"/>
                <w:szCs w:val="20"/>
                <w:lang w:val="x-none"/>
              </w:rPr>
              <w:t xml:space="preserve"> symbol, and</w:t>
            </w:r>
          </w:p>
          <w:p w14:paraId="279EF44B" w14:textId="43F681C6" w:rsidR="005F61A3" w:rsidRPr="00ED20EF" w:rsidRDefault="005F61A3" w:rsidP="00ED20EF">
            <w:pPr>
              <w:spacing w:after="180" w:line="240" w:lineRule="auto"/>
              <w:ind w:left="568" w:hanging="284"/>
              <w:rPr>
                <w:lang w:val="x-none"/>
              </w:rPr>
            </w:pPr>
            <w:r w:rsidRPr="00AF6232">
              <w:rPr>
                <w:rFonts w:ascii="CG Times (WN)" w:eastAsia="Times New Roman" w:hAnsi="CG Times (WN)" w:cs="Times New Roman"/>
                <w:sz w:val="20"/>
                <w:szCs w:val="20"/>
                <w:lang w:val="x-none"/>
              </w:rPr>
              <w:t>-</w:t>
            </w:r>
            <w:r w:rsidRPr="00AF6232">
              <w:rPr>
                <w:rFonts w:ascii="CG Times (WN)" w:eastAsia="Times New Roman" w:hAnsi="CG Times (WN)" w:cs="Times New Roman"/>
                <w:sz w:val="20"/>
                <w:szCs w:val="20"/>
                <w:lang w:val="x-none"/>
              </w:rPr>
              <w:tab/>
              <w:t>consecutive UL symbols, as described in Subclause 11.1,</w:t>
            </w:r>
            <w:r w:rsidRPr="00AF6232">
              <w:rPr>
                <w:rFonts w:ascii="CG Times (WN)" w:eastAsia="Times New Roman" w:hAnsi="CG Times (WN)" w:cs="Times New Roman"/>
                <w:sz w:val="20"/>
                <w:szCs w:val="20"/>
              </w:rPr>
              <w:t xml:space="preserve"> </w:t>
            </w:r>
            <w:r w:rsidRPr="00AF6232">
              <w:rPr>
                <w:rFonts w:ascii="CG Times (WN)" w:eastAsia="Times New Roman" w:hAnsi="CG Times (WN)" w:cs="Times New Roman"/>
                <w:sz w:val="20"/>
                <w:szCs w:val="20"/>
                <w:lang w:val="en-GB"/>
              </w:rPr>
              <w:t xml:space="preserve">or flexible symbols </w:t>
            </w:r>
            <w:r w:rsidRPr="00AF6232">
              <w:rPr>
                <w:rFonts w:ascii="CG Times (WN)" w:eastAsia="Times New Roman" w:hAnsi="CG Times (WN)" w:cs="Times New Roman"/>
                <w:sz w:val="20"/>
                <w:szCs w:val="20"/>
                <w:lang w:val="x-none"/>
              </w:rPr>
              <w:t>that are not SS/PBCH block symbol</w:t>
            </w:r>
            <w:r w:rsidRPr="00AF6232">
              <w:rPr>
                <w:rFonts w:ascii="CG Times (WN)" w:eastAsia="Times New Roman" w:hAnsi="CG Times (WN)" w:cs="Times New Roman"/>
                <w:sz w:val="20"/>
                <w:szCs w:val="20"/>
              </w:rPr>
              <w:t>s</w:t>
            </w:r>
            <w:r w:rsidRPr="00AF6232">
              <w:rPr>
                <w:rFonts w:ascii="CG Times (WN)" w:eastAsia="Times New Roman" w:hAnsi="CG Times (WN)" w:cs="Times New Roman"/>
                <w:sz w:val="20"/>
                <w:szCs w:val="20"/>
                <w:lang w:val="x-none"/>
              </w:rPr>
              <w:t xml:space="preserve">, starting from the </w:t>
            </w:r>
            <w:r w:rsidRPr="00AF6232">
              <w:rPr>
                <w:rFonts w:ascii="CG Times (WN)" w:eastAsia="Times New Roman" w:hAnsi="CG Times (WN)" w:cs="Times New Roman"/>
                <w:sz w:val="20"/>
                <w:szCs w:val="20"/>
              </w:rPr>
              <w:t xml:space="preserve">first </w:t>
            </w:r>
            <w:r w:rsidRPr="00AF6232">
              <w:rPr>
                <w:rFonts w:ascii="CG Times (WN)" w:eastAsia="Times New Roman" w:hAnsi="CG Times (WN)" w:cs="Times New Roman"/>
                <w:sz w:val="20"/>
                <w:szCs w:val="20"/>
                <w:lang w:val="x-none"/>
              </w:rPr>
              <w:t xml:space="preserve">symbol, equal to </w:t>
            </w:r>
            <w:r w:rsidRPr="00AF6232">
              <w:rPr>
                <w:rFonts w:ascii="CG Times (WN)" w:eastAsia="Times New Roman" w:hAnsi="CG Times (WN)" w:cs="Times New Roman"/>
                <w:sz w:val="20"/>
                <w:szCs w:val="20"/>
              </w:rPr>
              <w:t xml:space="preserve">or larger than </w:t>
            </w:r>
            <w:r w:rsidRPr="00AF6232">
              <w:rPr>
                <w:rFonts w:ascii="CG Times (WN)" w:eastAsia="Times New Roman" w:hAnsi="CG Times (WN)" w:cs="Times New Roman"/>
                <w:sz w:val="20"/>
                <w:szCs w:val="20"/>
                <w:lang w:val="x-none"/>
              </w:rPr>
              <w:t xml:space="preserve">a number of symbols provided </w:t>
            </w:r>
            <w:r w:rsidRPr="00AF6232">
              <w:rPr>
                <w:rFonts w:ascii="CG Times (WN)" w:eastAsia="Times New Roman" w:hAnsi="CG Times (WN)" w:cs="Times New Roman"/>
                <w:sz w:val="20"/>
                <w:szCs w:val="20"/>
              </w:rPr>
              <w:t xml:space="preserve">by </w:t>
            </w:r>
            <w:r w:rsidRPr="00AF6232">
              <w:rPr>
                <w:rFonts w:ascii="CG Times (WN)" w:eastAsia="Times New Roman" w:hAnsi="CG Times (WN)" w:cs="Times New Roman"/>
                <w:i/>
                <w:sz w:val="20"/>
                <w:szCs w:val="20"/>
              </w:rPr>
              <w:t>nr</w:t>
            </w:r>
            <w:proofErr w:type="spellStart"/>
            <w:r w:rsidRPr="00AF6232">
              <w:rPr>
                <w:rFonts w:ascii="CG Times (WN)" w:eastAsia="Times New Roman" w:hAnsi="CG Times (WN)" w:cs="Times New Roman"/>
                <w:i/>
                <w:sz w:val="20"/>
                <w:szCs w:val="20"/>
                <w:lang w:val="x-none"/>
              </w:rPr>
              <w:t>ofsymbols</w:t>
            </w:r>
            <w:proofErr w:type="spellEnd"/>
            <w:r w:rsidRPr="00AF6232">
              <w:rPr>
                <w:rFonts w:ascii="CG Times (WN)" w:eastAsia="Times New Roman" w:hAnsi="CG Times (WN)" w:cs="Times New Roman"/>
                <w:sz w:val="20"/>
                <w:szCs w:val="20"/>
              </w:rPr>
              <w:t xml:space="preserve"> in </w:t>
            </w:r>
            <w:r w:rsidRPr="00AF6232">
              <w:rPr>
                <w:rFonts w:ascii="CG Times (WN)" w:eastAsia="Times New Roman" w:hAnsi="CG Times (WN)" w:cs="Times New Roman"/>
                <w:i/>
                <w:sz w:val="20"/>
                <w:szCs w:val="20"/>
              </w:rPr>
              <w:t>PUCCH-format1</w:t>
            </w:r>
            <w:r w:rsidRPr="00AF6232">
              <w:rPr>
                <w:rFonts w:ascii="CG Times (WN)" w:eastAsia="Times New Roman" w:hAnsi="CG Times (WN)" w:cs="Times New Roman"/>
                <w:sz w:val="20"/>
                <w:szCs w:val="20"/>
              </w:rPr>
              <w:t xml:space="preserve">, or in </w:t>
            </w:r>
            <w:r w:rsidRPr="00AF6232">
              <w:rPr>
                <w:rFonts w:ascii="CG Times (WN)" w:eastAsia="Times New Roman" w:hAnsi="CG Times (WN)" w:cs="Times New Roman"/>
                <w:i/>
                <w:sz w:val="20"/>
                <w:szCs w:val="20"/>
              </w:rPr>
              <w:t>PUCCH-format3</w:t>
            </w:r>
            <w:r w:rsidRPr="00AF6232">
              <w:rPr>
                <w:rFonts w:ascii="CG Times (WN)" w:eastAsia="Times New Roman" w:hAnsi="CG Times (WN)" w:cs="Times New Roman"/>
                <w:sz w:val="20"/>
                <w:szCs w:val="20"/>
              </w:rPr>
              <w:t xml:space="preserve">, or in </w:t>
            </w:r>
            <w:r w:rsidRPr="00AF6232">
              <w:rPr>
                <w:rFonts w:ascii="CG Times (WN)" w:eastAsia="Times New Roman" w:hAnsi="CG Times (WN)" w:cs="Times New Roman"/>
                <w:i/>
                <w:sz w:val="20"/>
                <w:szCs w:val="20"/>
              </w:rPr>
              <w:t>PUCCH-format4</w:t>
            </w:r>
          </w:p>
        </w:tc>
      </w:tr>
    </w:tbl>
    <w:p w14:paraId="254D4DF6" w14:textId="25FB780C" w:rsidR="005F61A3" w:rsidRDefault="005F61A3" w:rsidP="00370F79">
      <w:pPr>
        <w:pStyle w:val="BodyText"/>
      </w:pPr>
    </w:p>
    <w:p w14:paraId="19A1AF6A" w14:textId="2AF22CEB" w:rsidR="00335208" w:rsidRDefault="00335208" w:rsidP="00335208">
      <w:pPr>
        <w:pStyle w:val="BodyText"/>
        <w:rPr>
          <w:lang w:val="en-GB"/>
        </w:rPr>
      </w:pPr>
      <w:r>
        <w:lastRenderedPageBreak/>
        <w:t xml:space="preserve">In accordance with </w:t>
      </w:r>
      <w:r>
        <w:fldChar w:fldCharType="begin"/>
      </w:r>
      <w:r>
        <w:instrText xml:space="preserve"> REF _Ref23927847 \r \h </w:instrText>
      </w:r>
      <w:r>
        <w:fldChar w:fldCharType="separate"/>
      </w:r>
      <w:r w:rsidR="009200D5">
        <w:t>Proposal 12</w:t>
      </w:r>
      <w:r>
        <w:fldChar w:fldCharType="end"/>
      </w:r>
      <w:r>
        <w:t>, the UE need to assume SS/PBCH block transmissions corresponding to candidate SS/PBCH block index in ssb-PositionsInBurst. The above text could for example be modified as</w:t>
      </w:r>
    </w:p>
    <w:p w14:paraId="404ED887" w14:textId="77777777" w:rsidR="00335208" w:rsidRDefault="00335208" w:rsidP="00335208">
      <w:pPr>
        <w:pStyle w:val="BodyText"/>
      </w:pPr>
    </w:p>
    <w:tbl>
      <w:tblPr>
        <w:tblStyle w:val="TableGrid"/>
        <w:tblW w:w="0" w:type="auto"/>
        <w:tblLook w:val="04A0" w:firstRow="1" w:lastRow="0" w:firstColumn="1" w:lastColumn="0" w:noHBand="0" w:noVBand="1"/>
      </w:tblPr>
      <w:tblGrid>
        <w:gridCol w:w="9629"/>
      </w:tblGrid>
      <w:tr w:rsidR="00335208" w14:paraId="2AEAA5AD" w14:textId="77777777" w:rsidTr="007009C5">
        <w:tc>
          <w:tcPr>
            <w:tcW w:w="9629" w:type="dxa"/>
          </w:tcPr>
          <w:p w14:paraId="2BD57774" w14:textId="52CE1BAA" w:rsidR="00335208" w:rsidRPr="00AF6232" w:rsidRDefault="00335208" w:rsidP="007009C5">
            <w:pPr>
              <w:spacing w:after="180" w:line="240" w:lineRule="auto"/>
              <w:rPr>
                <w:rFonts w:ascii="Times New Roman" w:eastAsia="Times New Roman" w:hAnsi="Times New Roman" w:cs="Times New Roman"/>
                <w:sz w:val="20"/>
                <w:szCs w:val="20"/>
              </w:rPr>
            </w:pPr>
            <w:r w:rsidRPr="00785D8B">
              <w:rPr>
                <w:rFonts w:ascii="Times New Roman" w:eastAsia="Times New Roman" w:hAnsi="Times New Roman" w:cs="Times New Roman"/>
                <w:sz w:val="20"/>
                <w:szCs w:val="20"/>
                <w:u w:val="single"/>
              </w:rPr>
              <w:t xml:space="preserve">A SS/PBCH block symbol is a symbol indicated to a UE </w:t>
            </w:r>
            <w:r w:rsidRPr="00B54AA0">
              <w:rPr>
                <w:rFonts w:ascii="Times New Roman" w:eastAsia="Times New Roman" w:hAnsi="Times New Roman" w:cs="Times New Roman"/>
                <w:sz w:val="20"/>
                <w:szCs w:val="20"/>
                <w:u w:val="single"/>
              </w:rPr>
              <w:t xml:space="preserve">by </w:t>
            </w:r>
            <w:r w:rsidR="008900E6" w:rsidRPr="00ED20EF">
              <w:rPr>
                <w:rFonts w:ascii="Times New Roman" w:eastAsia="SimSun" w:hAnsi="Times New Roman" w:cs="Times New Roman"/>
                <w:color w:val="FF0000"/>
                <w:kern w:val="2"/>
                <w:sz w:val="20"/>
                <w:szCs w:val="20"/>
                <w:u w:val="single"/>
                <w:lang w:val="en-GB"/>
              </w:rPr>
              <w:t xml:space="preserve">candidate </w:t>
            </w:r>
            <w:r w:rsidRPr="00ED20EF">
              <w:rPr>
                <w:rFonts w:ascii="Times New Roman" w:eastAsia="SimSun" w:hAnsi="Times New Roman" w:cs="Times New Roman"/>
                <w:color w:val="FF0000"/>
                <w:kern w:val="2"/>
                <w:sz w:val="20"/>
                <w:szCs w:val="20"/>
                <w:u w:val="single"/>
                <w:lang w:val="en-GB"/>
              </w:rPr>
              <w:t xml:space="preserve">SS/PBCH positions according to </w:t>
            </w:r>
            <w:r w:rsidRPr="00B54AA0">
              <w:rPr>
                <w:rFonts w:ascii="Times New Roman" w:eastAsia="Times New Roman" w:hAnsi="Times New Roman" w:cs="Times New Roman"/>
                <w:i/>
                <w:sz w:val="20"/>
                <w:szCs w:val="20"/>
                <w:u w:val="single"/>
              </w:rPr>
              <w:t>ssb</w:t>
            </w:r>
            <w:r w:rsidRPr="00785D8B">
              <w:rPr>
                <w:rFonts w:ascii="Times New Roman" w:eastAsia="Times New Roman" w:hAnsi="Times New Roman" w:cs="Times New Roman"/>
                <w:i/>
                <w:sz w:val="20"/>
                <w:szCs w:val="20"/>
                <w:u w:val="single"/>
              </w:rPr>
              <w:t>-PositionsInBurst</w:t>
            </w:r>
            <w:r w:rsidRPr="00AF6232">
              <w:rPr>
                <w:rFonts w:ascii="Times New Roman" w:eastAsia="Times New Roman" w:hAnsi="Times New Roman" w:cs="Times New Roman"/>
                <w:sz w:val="20"/>
                <w:szCs w:val="20"/>
              </w:rPr>
              <w:t xml:space="preserve"> in </w:t>
            </w:r>
            <w:r w:rsidRPr="00AF6232">
              <w:rPr>
                <w:rFonts w:ascii="Times New Roman" w:eastAsia="Times New Roman" w:hAnsi="Times New Roman" w:cs="Times New Roman"/>
                <w:i/>
                <w:sz w:val="20"/>
                <w:szCs w:val="20"/>
              </w:rPr>
              <w:t>SIB1</w:t>
            </w:r>
            <w:r w:rsidRPr="00AF6232">
              <w:rPr>
                <w:rFonts w:ascii="Times New Roman" w:eastAsia="Times New Roman" w:hAnsi="Times New Roman" w:cs="Times New Roman"/>
                <w:sz w:val="20"/>
                <w:szCs w:val="20"/>
              </w:rPr>
              <w:t xml:space="preserve"> or </w:t>
            </w:r>
            <w:r w:rsidRPr="00AF6232">
              <w:rPr>
                <w:rFonts w:ascii="Times New Roman" w:eastAsia="Times New Roman" w:hAnsi="Times New Roman" w:cs="Times New Roman"/>
                <w:i/>
                <w:sz w:val="20"/>
                <w:szCs w:val="20"/>
              </w:rPr>
              <w:t>ssb-PositionsInBurst</w:t>
            </w:r>
            <w:r w:rsidRPr="00AF6232">
              <w:rPr>
                <w:rFonts w:ascii="Times New Roman" w:eastAsia="Times New Roman" w:hAnsi="Times New Roman" w:cs="Times New Roman"/>
                <w:sz w:val="20"/>
                <w:szCs w:val="20"/>
              </w:rPr>
              <w:t xml:space="preserve"> in </w:t>
            </w:r>
            <w:r w:rsidRPr="00AF6232">
              <w:rPr>
                <w:rFonts w:ascii="Times New Roman" w:eastAsia="Times New Roman" w:hAnsi="Times New Roman" w:cs="Times New Roman"/>
                <w:i/>
                <w:sz w:val="20"/>
                <w:szCs w:val="20"/>
              </w:rPr>
              <w:t>ServingCellConfigCommon</w:t>
            </w:r>
            <w:r w:rsidRPr="00AF6232">
              <w:rPr>
                <w:rFonts w:ascii="Times New Roman" w:eastAsia="Times New Roman" w:hAnsi="Times New Roman" w:cs="Times New Roman"/>
                <w:sz w:val="20"/>
                <w:szCs w:val="20"/>
              </w:rPr>
              <w:t>.</w:t>
            </w:r>
          </w:p>
          <w:p w14:paraId="375470C3" w14:textId="77777777" w:rsidR="00335208" w:rsidRPr="00AF6232" w:rsidRDefault="00335208" w:rsidP="007009C5">
            <w:pPr>
              <w:spacing w:after="180" w:line="240" w:lineRule="auto"/>
              <w:rPr>
                <w:rFonts w:ascii="Times New Roman" w:eastAsia="Times New Roman" w:hAnsi="Times New Roman" w:cs="Times New Roman"/>
                <w:sz w:val="20"/>
                <w:szCs w:val="20"/>
              </w:rPr>
            </w:pPr>
            <w:r w:rsidRPr="00AF6232">
              <w:rPr>
                <w:rFonts w:ascii="Times New Roman" w:eastAsia="Times New Roman" w:hAnsi="Times New Roman" w:cs="Times New Roman"/>
                <w:sz w:val="20"/>
                <w:szCs w:val="20"/>
              </w:rPr>
              <w:t xml:space="preserve">For unpaired spectrum, the UE determines the </w:t>
            </w:r>
            <w:r w:rsidRPr="00AF6232">
              <w:rPr>
                <w:rFonts w:ascii="Times New Roman" w:eastAsia="Times New Roman" w:hAnsi="Times New Roman" w:cs="Times New Roman"/>
                <w:position w:val="-10"/>
                <w:sz w:val="20"/>
                <w:szCs w:val="20"/>
                <w:lang w:val="en-GB"/>
              </w:rPr>
              <w:object w:dxaOrig="570" w:dyaOrig="345" w14:anchorId="39B71935">
                <v:shape id="_x0000_i1039" type="#_x0000_t75" style="width:27.4pt;height:17.2pt" o:ole="">
                  <v:imagedata r:id="rId33" o:title=""/>
                </v:shape>
                <o:OLEObject Type="Embed" ProgID="Equation.3" ShapeID="_x0000_i1039" DrawAspect="Content" ObjectID="_1634754146" r:id="rId35"/>
              </w:object>
            </w:r>
            <w:r w:rsidRPr="00AF6232">
              <w:rPr>
                <w:rFonts w:ascii="Times New Roman" w:eastAsia="Times New Roman" w:hAnsi="Times New Roman" w:cs="Times New Roman"/>
                <w:sz w:val="20"/>
                <w:szCs w:val="20"/>
              </w:rPr>
              <w:t xml:space="preserve"> slots for a PUCCH transmission starting from a slot indicated to the UE as described in Subclause 9.2.3 and having</w:t>
            </w:r>
          </w:p>
          <w:p w14:paraId="3D76B797" w14:textId="77777777" w:rsidR="00335208" w:rsidRPr="00AF6232" w:rsidRDefault="00335208" w:rsidP="007009C5">
            <w:pPr>
              <w:spacing w:after="180" w:line="240" w:lineRule="auto"/>
              <w:ind w:left="568" w:hanging="284"/>
              <w:rPr>
                <w:rFonts w:ascii="CG Times (WN)" w:eastAsia="Times New Roman" w:hAnsi="CG Times (WN)" w:cs="Times New Roman"/>
                <w:sz w:val="20"/>
                <w:szCs w:val="20"/>
                <w:lang w:val="x-none"/>
              </w:rPr>
            </w:pPr>
            <w:r w:rsidRPr="00AF6232">
              <w:rPr>
                <w:rFonts w:ascii="CG Times (WN)" w:eastAsia="Times New Roman" w:hAnsi="CG Times (WN)" w:cs="Times New Roman"/>
                <w:sz w:val="20"/>
                <w:szCs w:val="20"/>
                <w:lang w:val="en-GB"/>
              </w:rPr>
              <w:t>-</w:t>
            </w:r>
            <w:r w:rsidRPr="00AF6232">
              <w:rPr>
                <w:rFonts w:ascii="CG Times (WN)" w:eastAsia="Times New Roman" w:hAnsi="CG Times (WN)" w:cs="Times New Roman"/>
                <w:sz w:val="20"/>
                <w:szCs w:val="20"/>
                <w:lang w:val="en-GB"/>
              </w:rPr>
              <w:tab/>
              <w:t>an UL symbol</w:t>
            </w:r>
            <w:r w:rsidRPr="00AF6232">
              <w:rPr>
                <w:rFonts w:ascii="CG Times (WN)" w:eastAsia="Times New Roman" w:hAnsi="CG Times (WN)" w:cs="Times New Roman"/>
                <w:sz w:val="20"/>
                <w:szCs w:val="20"/>
                <w:lang w:val="x-none"/>
              </w:rPr>
              <w:t>, as described in Subclause 11.1,</w:t>
            </w:r>
            <w:r w:rsidRPr="00AF6232">
              <w:rPr>
                <w:rFonts w:ascii="CG Times (WN)" w:eastAsia="Times New Roman" w:hAnsi="CG Times (WN)" w:cs="Times New Roman"/>
                <w:sz w:val="20"/>
                <w:szCs w:val="20"/>
                <w:lang w:val="en-GB"/>
              </w:rPr>
              <w:t xml:space="preserve"> or flexible symbol </w:t>
            </w:r>
            <w:r w:rsidRPr="00AF6232">
              <w:rPr>
                <w:rFonts w:ascii="CG Times (WN)" w:eastAsia="Times New Roman" w:hAnsi="CG Times (WN)" w:cs="Times New Roman"/>
                <w:sz w:val="20"/>
                <w:szCs w:val="20"/>
                <w:lang w:val="x-none"/>
              </w:rPr>
              <w:t xml:space="preserve">that is not SS/PBCH block symbol provided by </w:t>
            </w:r>
            <w:proofErr w:type="spellStart"/>
            <w:r w:rsidRPr="00AF6232">
              <w:rPr>
                <w:rFonts w:ascii="CG Times (WN)" w:eastAsia="Times New Roman" w:hAnsi="CG Times (WN)" w:cs="Times New Roman"/>
                <w:i/>
                <w:sz w:val="20"/>
                <w:szCs w:val="20"/>
                <w:lang w:val="x-none"/>
              </w:rPr>
              <w:t>starting</w:t>
            </w:r>
            <w:r w:rsidRPr="00AF6232">
              <w:rPr>
                <w:rFonts w:ascii="CG Times (WN)" w:eastAsia="Times New Roman" w:hAnsi="CG Times (WN)" w:cs="Times New Roman"/>
                <w:i/>
                <w:sz w:val="20"/>
                <w:szCs w:val="20"/>
              </w:rPr>
              <w:t>S</w:t>
            </w:r>
            <w:r w:rsidRPr="00AF6232">
              <w:rPr>
                <w:rFonts w:ascii="CG Times (WN)" w:eastAsia="Times New Roman" w:hAnsi="CG Times (WN)" w:cs="Times New Roman"/>
                <w:i/>
                <w:sz w:val="20"/>
                <w:szCs w:val="20"/>
                <w:lang w:val="x-none"/>
              </w:rPr>
              <w:t>ymbol</w:t>
            </w:r>
            <w:r w:rsidRPr="00AF6232">
              <w:rPr>
                <w:rFonts w:ascii="CG Times (WN)" w:eastAsia="Times New Roman" w:hAnsi="CG Times (WN)" w:cs="Times New Roman"/>
                <w:i/>
                <w:sz w:val="20"/>
                <w:szCs w:val="20"/>
              </w:rPr>
              <w:t>Index</w:t>
            </w:r>
            <w:proofErr w:type="spellEnd"/>
            <w:r w:rsidRPr="00AF6232">
              <w:rPr>
                <w:rFonts w:ascii="CG Times (WN)" w:eastAsia="Times New Roman" w:hAnsi="CG Times (WN)" w:cs="Times New Roman"/>
                <w:sz w:val="20"/>
                <w:szCs w:val="20"/>
                <w:lang w:val="x-none"/>
              </w:rPr>
              <w:t xml:space="preserve"> </w:t>
            </w:r>
            <w:r w:rsidRPr="00AF6232">
              <w:rPr>
                <w:rFonts w:ascii="CG Times (WN)" w:eastAsia="Times New Roman" w:hAnsi="CG Times (WN)" w:cs="Times New Roman"/>
                <w:sz w:val="20"/>
                <w:szCs w:val="20"/>
              </w:rPr>
              <w:t xml:space="preserve">in </w:t>
            </w:r>
            <w:r w:rsidRPr="00AF6232">
              <w:rPr>
                <w:rFonts w:ascii="CG Times (WN)" w:eastAsia="Times New Roman" w:hAnsi="CG Times (WN)" w:cs="Times New Roman"/>
                <w:i/>
                <w:sz w:val="20"/>
                <w:szCs w:val="20"/>
              </w:rPr>
              <w:t>PUCCH-format1</w:t>
            </w:r>
            <w:r w:rsidRPr="00AF6232">
              <w:rPr>
                <w:rFonts w:ascii="CG Times (WN)" w:eastAsia="Times New Roman" w:hAnsi="CG Times (WN)" w:cs="Times New Roman"/>
                <w:sz w:val="20"/>
                <w:szCs w:val="20"/>
              </w:rPr>
              <w:t xml:space="preserve">, or in </w:t>
            </w:r>
            <w:r w:rsidRPr="00AF6232">
              <w:rPr>
                <w:rFonts w:ascii="CG Times (WN)" w:eastAsia="Times New Roman" w:hAnsi="CG Times (WN)" w:cs="Times New Roman"/>
                <w:i/>
                <w:sz w:val="20"/>
                <w:szCs w:val="20"/>
              </w:rPr>
              <w:t>PUCCH-format3</w:t>
            </w:r>
            <w:r w:rsidRPr="00AF6232">
              <w:rPr>
                <w:rFonts w:ascii="CG Times (WN)" w:eastAsia="Times New Roman" w:hAnsi="CG Times (WN)" w:cs="Times New Roman"/>
                <w:sz w:val="20"/>
                <w:szCs w:val="20"/>
              </w:rPr>
              <w:t xml:space="preserve">, or in </w:t>
            </w:r>
            <w:r w:rsidRPr="00AF6232">
              <w:rPr>
                <w:rFonts w:ascii="CG Times (WN)" w:eastAsia="Times New Roman" w:hAnsi="CG Times (WN)" w:cs="Times New Roman"/>
                <w:i/>
                <w:sz w:val="20"/>
                <w:szCs w:val="20"/>
              </w:rPr>
              <w:t>PUCCH-format4</w:t>
            </w:r>
            <w:r w:rsidRPr="00AF6232">
              <w:rPr>
                <w:rFonts w:ascii="CG Times (WN)" w:eastAsia="Times New Roman" w:hAnsi="CG Times (WN)" w:cs="Times New Roman"/>
                <w:sz w:val="20"/>
                <w:szCs w:val="20"/>
              </w:rPr>
              <w:t xml:space="preserve"> as a first</w:t>
            </w:r>
            <w:r w:rsidRPr="00AF6232">
              <w:rPr>
                <w:rFonts w:ascii="CG Times (WN)" w:eastAsia="Times New Roman" w:hAnsi="CG Times (WN)" w:cs="Times New Roman"/>
                <w:sz w:val="20"/>
                <w:szCs w:val="20"/>
                <w:lang w:val="x-none"/>
              </w:rPr>
              <w:t xml:space="preserve"> symbol, and</w:t>
            </w:r>
          </w:p>
          <w:p w14:paraId="0E6DF207" w14:textId="77777777" w:rsidR="00335208" w:rsidRPr="00785D8B" w:rsidRDefault="00335208" w:rsidP="007009C5">
            <w:pPr>
              <w:spacing w:after="180" w:line="240" w:lineRule="auto"/>
              <w:ind w:left="568" w:hanging="284"/>
              <w:rPr>
                <w:lang w:val="x-none"/>
              </w:rPr>
            </w:pPr>
            <w:r w:rsidRPr="00AF6232">
              <w:rPr>
                <w:rFonts w:ascii="CG Times (WN)" w:eastAsia="Times New Roman" w:hAnsi="CG Times (WN)" w:cs="Times New Roman"/>
                <w:sz w:val="20"/>
                <w:szCs w:val="20"/>
                <w:lang w:val="x-none"/>
              </w:rPr>
              <w:t>-</w:t>
            </w:r>
            <w:r w:rsidRPr="00AF6232">
              <w:rPr>
                <w:rFonts w:ascii="CG Times (WN)" w:eastAsia="Times New Roman" w:hAnsi="CG Times (WN)" w:cs="Times New Roman"/>
                <w:sz w:val="20"/>
                <w:szCs w:val="20"/>
                <w:lang w:val="x-none"/>
              </w:rPr>
              <w:tab/>
              <w:t>consecutive UL symbols, as described in Subclause 11.1,</w:t>
            </w:r>
            <w:r w:rsidRPr="00AF6232">
              <w:rPr>
                <w:rFonts w:ascii="CG Times (WN)" w:eastAsia="Times New Roman" w:hAnsi="CG Times (WN)" w:cs="Times New Roman"/>
                <w:sz w:val="20"/>
                <w:szCs w:val="20"/>
              </w:rPr>
              <w:t xml:space="preserve"> </w:t>
            </w:r>
            <w:r w:rsidRPr="00AF6232">
              <w:rPr>
                <w:rFonts w:ascii="CG Times (WN)" w:eastAsia="Times New Roman" w:hAnsi="CG Times (WN)" w:cs="Times New Roman"/>
                <w:sz w:val="20"/>
                <w:szCs w:val="20"/>
                <w:lang w:val="en-GB"/>
              </w:rPr>
              <w:t xml:space="preserve">or flexible symbols </w:t>
            </w:r>
            <w:r w:rsidRPr="00AF6232">
              <w:rPr>
                <w:rFonts w:ascii="CG Times (WN)" w:eastAsia="Times New Roman" w:hAnsi="CG Times (WN)" w:cs="Times New Roman"/>
                <w:sz w:val="20"/>
                <w:szCs w:val="20"/>
                <w:lang w:val="x-none"/>
              </w:rPr>
              <w:t>that are not SS/PBCH block symbol</w:t>
            </w:r>
            <w:r w:rsidRPr="00AF6232">
              <w:rPr>
                <w:rFonts w:ascii="CG Times (WN)" w:eastAsia="Times New Roman" w:hAnsi="CG Times (WN)" w:cs="Times New Roman"/>
                <w:sz w:val="20"/>
                <w:szCs w:val="20"/>
              </w:rPr>
              <w:t>s</w:t>
            </w:r>
            <w:r w:rsidRPr="00AF6232">
              <w:rPr>
                <w:rFonts w:ascii="CG Times (WN)" w:eastAsia="Times New Roman" w:hAnsi="CG Times (WN)" w:cs="Times New Roman"/>
                <w:sz w:val="20"/>
                <w:szCs w:val="20"/>
                <w:lang w:val="x-none"/>
              </w:rPr>
              <w:t xml:space="preserve">, starting from the </w:t>
            </w:r>
            <w:r w:rsidRPr="00AF6232">
              <w:rPr>
                <w:rFonts w:ascii="CG Times (WN)" w:eastAsia="Times New Roman" w:hAnsi="CG Times (WN)" w:cs="Times New Roman"/>
                <w:sz w:val="20"/>
                <w:szCs w:val="20"/>
              </w:rPr>
              <w:t xml:space="preserve">first </w:t>
            </w:r>
            <w:r w:rsidRPr="00AF6232">
              <w:rPr>
                <w:rFonts w:ascii="CG Times (WN)" w:eastAsia="Times New Roman" w:hAnsi="CG Times (WN)" w:cs="Times New Roman"/>
                <w:sz w:val="20"/>
                <w:szCs w:val="20"/>
                <w:lang w:val="x-none"/>
              </w:rPr>
              <w:t xml:space="preserve">symbol, equal to </w:t>
            </w:r>
            <w:r w:rsidRPr="00AF6232">
              <w:rPr>
                <w:rFonts w:ascii="CG Times (WN)" w:eastAsia="Times New Roman" w:hAnsi="CG Times (WN)" w:cs="Times New Roman"/>
                <w:sz w:val="20"/>
                <w:szCs w:val="20"/>
              </w:rPr>
              <w:t xml:space="preserve">or larger than </w:t>
            </w:r>
            <w:r w:rsidRPr="00AF6232">
              <w:rPr>
                <w:rFonts w:ascii="CG Times (WN)" w:eastAsia="Times New Roman" w:hAnsi="CG Times (WN)" w:cs="Times New Roman"/>
                <w:sz w:val="20"/>
                <w:szCs w:val="20"/>
                <w:lang w:val="x-none"/>
              </w:rPr>
              <w:t xml:space="preserve">a number of symbols provided </w:t>
            </w:r>
            <w:r w:rsidRPr="00AF6232">
              <w:rPr>
                <w:rFonts w:ascii="CG Times (WN)" w:eastAsia="Times New Roman" w:hAnsi="CG Times (WN)" w:cs="Times New Roman"/>
                <w:sz w:val="20"/>
                <w:szCs w:val="20"/>
              </w:rPr>
              <w:t xml:space="preserve">by </w:t>
            </w:r>
            <w:r w:rsidRPr="00AF6232">
              <w:rPr>
                <w:rFonts w:ascii="CG Times (WN)" w:eastAsia="Times New Roman" w:hAnsi="CG Times (WN)" w:cs="Times New Roman"/>
                <w:i/>
                <w:sz w:val="20"/>
                <w:szCs w:val="20"/>
              </w:rPr>
              <w:t>nr</w:t>
            </w:r>
            <w:proofErr w:type="spellStart"/>
            <w:r w:rsidRPr="00AF6232">
              <w:rPr>
                <w:rFonts w:ascii="CG Times (WN)" w:eastAsia="Times New Roman" w:hAnsi="CG Times (WN)" w:cs="Times New Roman"/>
                <w:i/>
                <w:sz w:val="20"/>
                <w:szCs w:val="20"/>
                <w:lang w:val="x-none"/>
              </w:rPr>
              <w:t>ofsymbols</w:t>
            </w:r>
            <w:proofErr w:type="spellEnd"/>
            <w:r w:rsidRPr="00AF6232">
              <w:rPr>
                <w:rFonts w:ascii="CG Times (WN)" w:eastAsia="Times New Roman" w:hAnsi="CG Times (WN)" w:cs="Times New Roman"/>
                <w:sz w:val="20"/>
                <w:szCs w:val="20"/>
              </w:rPr>
              <w:t xml:space="preserve"> in </w:t>
            </w:r>
            <w:r w:rsidRPr="00AF6232">
              <w:rPr>
                <w:rFonts w:ascii="CG Times (WN)" w:eastAsia="Times New Roman" w:hAnsi="CG Times (WN)" w:cs="Times New Roman"/>
                <w:i/>
                <w:sz w:val="20"/>
                <w:szCs w:val="20"/>
              </w:rPr>
              <w:t>PUCCH-format1</w:t>
            </w:r>
            <w:r w:rsidRPr="00AF6232">
              <w:rPr>
                <w:rFonts w:ascii="CG Times (WN)" w:eastAsia="Times New Roman" w:hAnsi="CG Times (WN)" w:cs="Times New Roman"/>
                <w:sz w:val="20"/>
                <w:szCs w:val="20"/>
              </w:rPr>
              <w:t xml:space="preserve">, or in </w:t>
            </w:r>
            <w:r w:rsidRPr="00AF6232">
              <w:rPr>
                <w:rFonts w:ascii="CG Times (WN)" w:eastAsia="Times New Roman" w:hAnsi="CG Times (WN)" w:cs="Times New Roman"/>
                <w:i/>
                <w:sz w:val="20"/>
                <w:szCs w:val="20"/>
              </w:rPr>
              <w:t>PUCCH-format3</w:t>
            </w:r>
            <w:r w:rsidRPr="00AF6232">
              <w:rPr>
                <w:rFonts w:ascii="CG Times (WN)" w:eastAsia="Times New Roman" w:hAnsi="CG Times (WN)" w:cs="Times New Roman"/>
                <w:sz w:val="20"/>
                <w:szCs w:val="20"/>
              </w:rPr>
              <w:t xml:space="preserve">, or in </w:t>
            </w:r>
            <w:r w:rsidRPr="00AF6232">
              <w:rPr>
                <w:rFonts w:ascii="CG Times (WN)" w:eastAsia="Times New Roman" w:hAnsi="CG Times (WN)" w:cs="Times New Roman"/>
                <w:i/>
                <w:sz w:val="20"/>
                <w:szCs w:val="20"/>
              </w:rPr>
              <w:t>PUCCH-format4</w:t>
            </w:r>
          </w:p>
        </w:tc>
      </w:tr>
    </w:tbl>
    <w:p w14:paraId="3B392087" w14:textId="77777777" w:rsidR="00335208" w:rsidRDefault="00335208" w:rsidP="00370F79">
      <w:pPr>
        <w:pStyle w:val="BodyText"/>
      </w:pPr>
    </w:p>
    <w:p w14:paraId="310C794C" w14:textId="73808525" w:rsidR="00EB00D9" w:rsidRPr="00321409" w:rsidRDefault="00DD5FB0" w:rsidP="009F67D0">
      <w:pPr>
        <w:pStyle w:val="Heading1"/>
      </w:pPr>
      <w:bookmarkStart w:id="33" w:name="_Toc4685673"/>
      <w:bookmarkStart w:id="34" w:name="_Toc4685710"/>
      <w:bookmarkStart w:id="35" w:name="_Toc4685735"/>
      <w:bookmarkStart w:id="36" w:name="_Toc4685766"/>
      <w:bookmarkStart w:id="37" w:name="_Toc4688846"/>
      <w:bookmarkStart w:id="38" w:name="_Toc4689175"/>
      <w:bookmarkStart w:id="39" w:name="_Toc4689277"/>
      <w:bookmarkStart w:id="40" w:name="_Toc4695103"/>
      <w:bookmarkStart w:id="41" w:name="_Toc4745553"/>
      <w:bookmarkStart w:id="42" w:name="_Toc4768127"/>
      <w:bookmarkEnd w:id="33"/>
      <w:bookmarkEnd w:id="34"/>
      <w:bookmarkEnd w:id="35"/>
      <w:bookmarkEnd w:id="36"/>
      <w:bookmarkEnd w:id="37"/>
      <w:bookmarkEnd w:id="38"/>
      <w:bookmarkEnd w:id="39"/>
      <w:bookmarkEnd w:id="40"/>
      <w:bookmarkEnd w:id="41"/>
      <w:bookmarkEnd w:id="42"/>
      <w:r>
        <w:t>5</w:t>
      </w:r>
      <w:r w:rsidR="00EB00D9" w:rsidRPr="00321409">
        <w:tab/>
        <w:t>Random access</w:t>
      </w:r>
    </w:p>
    <w:p w14:paraId="2CCB52E2" w14:textId="572A90A1" w:rsidR="00B9528A" w:rsidRPr="001C585A" w:rsidRDefault="005F3300">
      <w:pPr>
        <w:pStyle w:val="BodyText"/>
      </w:pPr>
      <w:bookmarkStart w:id="43" w:name="_Hlk506545098"/>
      <w:r w:rsidRPr="001C585A">
        <w:t xml:space="preserve">Support for RACH is relevant not only for the </w:t>
      </w:r>
      <w:r w:rsidR="000A68C5" w:rsidRPr="001C585A">
        <w:t xml:space="preserve">NR-U </w:t>
      </w:r>
      <w:r w:rsidRPr="001C585A">
        <w:t xml:space="preserve">stand-alone scenario, but also for interworking </w:t>
      </w:r>
      <w:r w:rsidR="00626FBF" w:rsidRPr="001C585A">
        <w:t xml:space="preserve">(dual-connectivity) </w:t>
      </w:r>
      <w:r w:rsidRPr="001C585A">
        <w:t>scenarios</w:t>
      </w:r>
      <w:r w:rsidR="000A68C5" w:rsidRPr="001C585A">
        <w:t xml:space="preserve"> </w:t>
      </w:r>
      <w:r w:rsidR="00626FBF" w:rsidRPr="001C585A">
        <w:t>such as EN-DC.</w:t>
      </w:r>
    </w:p>
    <w:bookmarkEnd w:id="43"/>
    <w:p w14:paraId="0079F083" w14:textId="486A0234" w:rsidR="00C10D84" w:rsidRPr="001C585A" w:rsidRDefault="00DB00DD">
      <w:pPr>
        <w:pStyle w:val="BodyText"/>
      </w:pPr>
      <w:r w:rsidRPr="001C585A">
        <w:t xml:space="preserve">In </w:t>
      </w:r>
      <w:r w:rsidR="009E760E" w:rsidRPr="001C585A">
        <w:t xml:space="preserve">NR </w:t>
      </w:r>
      <w:r w:rsidRPr="001C585A">
        <w:t>Rel-15</w:t>
      </w:r>
      <w:r w:rsidR="009E760E" w:rsidRPr="001C585A">
        <w:t xml:space="preserve">, </w:t>
      </w:r>
      <w:r w:rsidRPr="001C585A">
        <w:t>a mapping between transmitted SS/PBCH block</w:t>
      </w:r>
      <w:r w:rsidR="000A68C5" w:rsidRPr="001C585A">
        <w:t>(</w:t>
      </w:r>
      <w:r w:rsidRPr="001C585A">
        <w:t>s</w:t>
      </w:r>
      <w:r w:rsidR="000A68C5" w:rsidRPr="001C585A">
        <w:t>)</w:t>
      </w:r>
      <w:r w:rsidRPr="001C585A">
        <w:t xml:space="preserve"> and </w:t>
      </w:r>
      <w:r w:rsidR="004E3C93" w:rsidRPr="001C585A">
        <w:t xml:space="preserve">a combination of </w:t>
      </w:r>
      <w:r w:rsidR="00BA52AC" w:rsidRPr="001C585A">
        <w:t xml:space="preserve">ranges of </w:t>
      </w:r>
      <w:r w:rsidR="004E3C93" w:rsidRPr="001C585A">
        <w:t>preamble</w:t>
      </w:r>
      <w:r w:rsidR="00BA52AC" w:rsidRPr="001C585A">
        <w:t>s</w:t>
      </w:r>
      <w:r w:rsidR="004E3C93" w:rsidRPr="001C585A">
        <w:t xml:space="preserve"> and </w:t>
      </w:r>
      <w:r w:rsidRPr="001C585A">
        <w:t>random</w:t>
      </w:r>
      <w:r w:rsidR="00695715" w:rsidRPr="001C585A">
        <w:t>-</w:t>
      </w:r>
      <w:r w:rsidRPr="001C585A">
        <w:t>access occasions (RO)</w:t>
      </w:r>
      <w:r w:rsidR="000A68C5" w:rsidRPr="001C585A">
        <w:t xml:space="preserve"> is configured</w:t>
      </w:r>
      <w:r w:rsidR="00281D38" w:rsidRPr="001C585A">
        <w:t xml:space="preserve"> using </w:t>
      </w:r>
      <w:proofErr w:type="spellStart"/>
      <w:r w:rsidR="00281D38" w:rsidRPr="001C585A">
        <w:rPr>
          <w:i/>
        </w:rPr>
        <w:t>ssb-perRACH-OccasionAndCBPreamblesPerSSB</w:t>
      </w:r>
      <w:proofErr w:type="spellEnd"/>
      <w:r w:rsidRPr="001C585A">
        <w:t xml:space="preserve">. </w:t>
      </w:r>
      <w:r w:rsidR="000934D7" w:rsidRPr="001C585A">
        <w:t xml:space="preserve">This mapping is used for the UE to </w:t>
      </w:r>
      <w:r w:rsidR="000A68C5" w:rsidRPr="001C585A">
        <w:t xml:space="preserve">implicitly </w:t>
      </w:r>
      <w:r w:rsidR="000934D7" w:rsidRPr="001C585A">
        <w:t xml:space="preserve">indicate to the gNB which SS/PBCH block that </w:t>
      </w:r>
      <w:r w:rsidR="00F20186" w:rsidRPr="001C585A">
        <w:t xml:space="preserve">had the best reception conditions. </w:t>
      </w:r>
    </w:p>
    <w:p w14:paraId="6433365B" w14:textId="468095A7" w:rsidR="00BB52A2" w:rsidRPr="001C585A" w:rsidRDefault="00DA2B8F">
      <w:pPr>
        <w:pStyle w:val="BodyText"/>
      </w:pPr>
      <w:bookmarkStart w:id="44" w:name="_Hlk521334267"/>
      <w:r w:rsidRPr="001C585A">
        <w:t>F</w:t>
      </w:r>
      <w:r w:rsidR="00695715" w:rsidRPr="001C585A">
        <w:t>ixed time relations between different signals/channels where LBT between the signals is required should not be assumed.</w:t>
      </w:r>
      <w:r w:rsidR="00084C57" w:rsidRPr="001C585A">
        <w:t xml:space="preserve"> If the mapping</w:t>
      </w:r>
      <w:r w:rsidR="005B6A3C" w:rsidRPr="001C585A">
        <w:t xml:space="preserve"> of SS/PBCH block index</w:t>
      </w:r>
      <w:r w:rsidR="00084C57" w:rsidRPr="001C585A">
        <w:t xml:space="preserve"> is done so that the UE indicates the best SS/PBCH block by transmitting Msg1 in a specific time domain </w:t>
      </w:r>
      <w:r w:rsidR="00BA52AC" w:rsidRPr="001C585A">
        <w:t>RO</w:t>
      </w:r>
      <w:r w:rsidR="00084C57" w:rsidRPr="001C585A">
        <w:t xml:space="preserve"> it might happen that the UE cannot access the channel for that specific time occasion, thus it would have to delay Msg1 to the next matching time occasion.</w:t>
      </w:r>
      <w:r w:rsidR="00695715" w:rsidRPr="001C585A">
        <w:t xml:space="preserve"> </w:t>
      </w:r>
      <w:r w:rsidR="00084C57" w:rsidRPr="001C585A">
        <w:t>This</w:t>
      </w:r>
      <w:r w:rsidR="00CB3747" w:rsidRPr="001C585A">
        <w:t xml:space="preserve"> would</w:t>
      </w:r>
      <w:r w:rsidR="00084C57" w:rsidRPr="001C585A">
        <w:t xml:space="preserve"> introduce unnecessary delays in the RACH procedure. </w:t>
      </w:r>
      <w:r w:rsidR="00695715" w:rsidRPr="001C585A">
        <w:t>Thus</w:t>
      </w:r>
      <w:r w:rsidR="005C0E21" w:rsidRPr="001C585A">
        <w:t>,</w:t>
      </w:r>
      <w:r w:rsidR="00EA606A" w:rsidRPr="001C585A">
        <w:t xml:space="preserve"> it is beneficial if</w:t>
      </w:r>
      <w:r w:rsidR="00695715" w:rsidRPr="001C585A">
        <w:t xml:space="preserve"> the mapping between transmitted SS/PBCH blocks and RO </w:t>
      </w:r>
      <w:r w:rsidR="00EA606A" w:rsidRPr="001C585A">
        <w:t>is</w:t>
      </w:r>
      <w:r w:rsidR="00072AC1" w:rsidRPr="001C585A">
        <w:t xml:space="preserve"> done </w:t>
      </w:r>
      <w:r w:rsidR="00EB5A24" w:rsidRPr="001C585A">
        <w:t xml:space="preserve">so that </w:t>
      </w:r>
      <w:r w:rsidR="00084C57" w:rsidRPr="001C585A">
        <w:t>the best SS/PBCH block is not indicated by which time occasion the UE transmits Msg1 in</w:t>
      </w:r>
      <w:r w:rsidR="00BA52AC" w:rsidRPr="001C585A">
        <w:t xml:space="preserve">, but rather by </w:t>
      </w:r>
      <w:r w:rsidR="006A037B" w:rsidRPr="001C585A">
        <w:t xml:space="preserve">used </w:t>
      </w:r>
      <w:r w:rsidR="00BA52AC" w:rsidRPr="001C585A">
        <w:t>frequency resource and/or preamble</w:t>
      </w:r>
      <w:r w:rsidR="00084C57" w:rsidRPr="001C585A">
        <w:t>.</w:t>
      </w:r>
    </w:p>
    <w:p w14:paraId="1BD84CE2" w14:textId="1F18E02D" w:rsidR="00DB00DD" w:rsidRPr="001C585A" w:rsidRDefault="003A6E8B">
      <w:pPr>
        <w:pStyle w:val="BodyText"/>
      </w:pPr>
      <w:r w:rsidRPr="001C585A">
        <w:t>This</w:t>
      </w:r>
      <w:r w:rsidR="00BB52A2" w:rsidRPr="001C585A">
        <w:t xml:space="preserve"> can be achieved already </w:t>
      </w:r>
      <w:r w:rsidRPr="001C585A">
        <w:t xml:space="preserve">in NR Rel-15 </w:t>
      </w:r>
      <w:r w:rsidR="00BB52A2" w:rsidRPr="001C585A">
        <w:t xml:space="preserve">using </w:t>
      </w:r>
      <w:r w:rsidR="00984ADE" w:rsidRPr="001C585A">
        <w:t>appropriate</w:t>
      </w:r>
      <w:r w:rsidR="00BB52A2" w:rsidRPr="001C585A">
        <w:t xml:space="preserve"> configuration of </w:t>
      </w:r>
      <w:proofErr w:type="spellStart"/>
      <w:r w:rsidR="00BB52A2" w:rsidRPr="001C585A">
        <w:rPr>
          <w:i/>
        </w:rPr>
        <w:t>ssb-perRACH-OccasionAndCBPreamblesPerSSB</w:t>
      </w:r>
      <w:proofErr w:type="spellEnd"/>
      <w:r w:rsidR="00BB52A2" w:rsidRPr="001C585A">
        <w:t xml:space="preserve"> and msg1-FDM. For </w:t>
      </w:r>
      <w:r w:rsidR="001D2B48" w:rsidRPr="001C585A">
        <w:t>example,</w:t>
      </w:r>
      <w:r w:rsidR="00BB52A2" w:rsidRPr="001C585A">
        <w:t xml:space="preserve"> if 4 SS/PBCH blocks are transmitted</w:t>
      </w:r>
      <w:r w:rsidR="00840B96" w:rsidRPr="001C585A">
        <w:t>,</w:t>
      </w:r>
      <w:r w:rsidR="00BB52A2" w:rsidRPr="001C585A">
        <w:t xml:space="preserve"> setting msg1-FDM equal to 4 and </w:t>
      </w:r>
      <w:proofErr w:type="spellStart"/>
      <w:r w:rsidR="0098070A" w:rsidRPr="001C585A">
        <w:rPr>
          <w:i/>
        </w:rPr>
        <w:t>ssb</w:t>
      </w:r>
      <w:proofErr w:type="spellEnd"/>
      <w:r w:rsidR="0098070A" w:rsidRPr="001C585A">
        <w:rPr>
          <w:i/>
        </w:rPr>
        <w:t>-</w:t>
      </w:r>
      <w:proofErr w:type="spellStart"/>
      <w:r w:rsidR="0098070A" w:rsidRPr="001C585A">
        <w:rPr>
          <w:i/>
        </w:rPr>
        <w:t>perRACH</w:t>
      </w:r>
      <w:proofErr w:type="spellEnd"/>
      <w:r w:rsidR="0098070A" w:rsidRPr="001C585A">
        <w:rPr>
          <w:i/>
        </w:rPr>
        <w:t>-Occasion</w:t>
      </w:r>
      <w:r w:rsidR="0098070A" w:rsidRPr="001C585A">
        <w:t xml:space="preserve"> to 1 </w:t>
      </w:r>
      <w:r w:rsidR="00840B96" w:rsidRPr="001C585A">
        <w:t>o</w:t>
      </w:r>
      <w:r w:rsidR="0098070A" w:rsidRPr="001C585A">
        <w:t xml:space="preserve">r msg1-FDM equal to 2 and </w:t>
      </w:r>
      <w:proofErr w:type="spellStart"/>
      <w:r w:rsidR="0098070A" w:rsidRPr="001C585A">
        <w:rPr>
          <w:i/>
        </w:rPr>
        <w:t>ssb</w:t>
      </w:r>
      <w:proofErr w:type="spellEnd"/>
      <w:r w:rsidR="0098070A" w:rsidRPr="001C585A">
        <w:rPr>
          <w:i/>
        </w:rPr>
        <w:t>-</w:t>
      </w:r>
      <w:proofErr w:type="spellStart"/>
      <w:r w:rsidR="0098070A" w:rsidRPr="001C585A">
        <w:rPr>
          <w:i/>
        </w:rPr>
        <w:t>perRACH</w:t>
      </w:r>
      <w:proofErr w:type="spellEnd"/>
      <w:r w:rsidR="0098070A" w:rsidRPr="001C585A">
        <w:rPr>
          <w:i/>
        </w:rPr>
        <w:t>-Occasion</w:t>
      </w:r>
      <w:r w:rsidR="0098070A" w:rsidRPr="001C585A">
        <w:t xml:space="preserve"> to 2</w:t>
      </w:r>
      <w:r w:rsidR="00840B96" w:rsidRPr="001C585A">
        <w:t xml:space="preserve"> will achieve time-independent mapping</w:t>
      </w:r>
      <w:r w:rsidR="0098070A" w:rsidRPr="001C585A">
        <w:t xml:space="preserve">. Where the former would allow a maximum of 64 </w:t>
      </w:r>
      <w:r w:rsidR="001D2B48" w:rsidRPr="001C585A">
        <w:t>contention-based</w:t>
      </w:r>
      <w:r w:rsidR="0098070A" w:rsidRPr="001C585A">
        <w:t xml:space="preserve"> preambles </w:t>
      </w:r>
      <w:r w:rsidR="00AD40E6" w:rsidRPr="001C585A">
        <w:t xml:space="preserve">per SS/PBCH block </w:t>
      </w:r>
      <w:r w:rsidR="0098070A" w:rsidRPr="001C585A">
        <w:t>and the latter 32.</w:t>
      </w:r>
      <w:r w:rsidR="00B36883" w:rsidRPr="001C585A">
        <w:t xml:space="preserve"> Note that this assumes that the UE uses the </w:t>
      </w:r>
      <w:r w:rsidR="00632592" w:rsidRPr="001C585A">
        <w:t>beam</w:t>
      </w:r>
      <w:r w:rsidR="00B36883" w:rsidRPr="001C585A">
        <w:t xml:space="preserve"> index </w:t>
      </w:r>
      <w:r w:rsidR="00FD512F">
        <w:t>(</w:t>
      </w:r>
      <w:r w:rsidR="00403EE8">
        <w:t>according to the agreed QCL</w:t>
      </w:r>
      <w:r w:rsidR="00F75A84">
        <w:t xml:space="preserve"> relation among SS/PBCH blocks</w:t>
      </w:r>
      <w:r w:rsidR="00FD512F">
        <w:t>)</w:t>
      </w:r>
      <w:r w:rsidR="002C6826" w:rsidRPr="001C585A">
        <w:t xml:space="preserve"> </w:t>
      </w:r>
      <w:r w:rsidR="00B36883" w:rsidRPr="001C585A">
        <w:t xml:space="preserve">in the </w:t>
      </w:r>
      <w:r w:rsidR="004C0281" w:rsidRPr="001C585A">
        <w:t>selection of P</w:t>
      </w:r>
      <w:r w:rsidR="00B36883" w:rsidRPr="001C585A">
        <w:t xml:space="preserve">RACH </w:t>
      </w:r>
      <w:r w:rsidR="004C0281" w:rsidRPr="001C585A">
        <w:t>occasion</w:t>
      </w:r>
      <w:r w:rsidR="001021DE" w:rsidRPr="001C585A">
        <w:t xml:space="preserve"> for preamble transmission</w:t>
      </w:r>
      <w:r w:rsidR="00B36883" w:rsidRPr="001C585A">
        <w:t>.</w:t>
      </w:r>
      <w:r w:rsidR="00C84FCA" w:rsidRPr="001C585A">
        <w:t xml:space="preserve"> </w:t>
      </w:r>
    </w:p>
    <w:p w14:paraId="1F4E9596" w14:textId="22BB9DD8" w:rsidR="00072AC1" w:rsidRPr="001C585A" w:rsidRDefault="001D2B48">
      <w:pPr>
        <w:pStyle w:val="Observation"/>
      </w:pPr>
      <w:bookmarkStart w:id="45" w:name="_Toc528677245"/>
      <w:bookmarkStart w:id="46" w:name="_Ref528856309"/>
      <w:bookmarkStart w:id="47" w:name="_Toc24104672"/>
      <w:r w:rsidRPr="001C585A">
        <w:t xml:space="preserve">Rel-15 NR already supports configurations so that the </w:t>
      </w:r>
      <w:r w:rsidR="00072AC1" w:rsidRPr="001C585A">
        <w:t xml:space="preserve">mapping of transmitted SS/PBCH blocks to </w:t>
      </w:r>
      <w:r w:rsidRPr="001C585A">
        <w:t>RACH occasions</w:t>
      </w:r>
      <w:r w:rsidR="00072AC1" w:rsidRPr="001C585A">
        <w:t xml:space="preserve"> </w:t>
      </w:r>
      <w:r w:rsidR="005657EE" w:rsidRPr="001C585A">
        <w:t>is robust to LBT failures</w:t>
      </w:r>
      <w:r w:rsidR="00360B92" w:rsidRPr="001C585A">
        <w:t>.</w:t>
      </w:r>
      <w:bookmarkEnd w:id="45"/>
      <w:bookmarkEnd w:id="46"/>
      <w:bookmarkEnd w:id="47"/>
    </w:p>
    <w:bookmarkEnd w:id="44"/>
    <w:p w14:paraId="1F211D55" w14:textId="7A75E789" w:rsidR="009717C0" w:rsidRPr="001C585A" w:rsidRDefault="00637524">
      <w:pPr>
        <w:pStyle w:val="BodyText"/>
      </w:pPr>
      <w:r w:rsidRPr="001C585A">
        <w:t xml:space="preserve">According to the </w:t>
      </w:r>
      <w:r w:rsidR="009717C0" w:rsidRPr="001C585A">
        <w:t xml:space="preserve">NR-U TR </w:t>
      </w:r>
      <w:r w:rsidR="007703A4">
        <w:fldChar w:fldCharType="begin"/>
      </w:r>
      <w:r w:rsidR="007703A4">
        <w:instrText xml:space="preserve"> REF _Ref534117348 \r \h </w:instrText>
      </w:r>
      <w:r w:rsidR="007703A4">
        <w:fldChar w:fldCharType="separate"/>
      </w:r>
      <w:r w:rsidR="009200D5">
        <w:t>[1]</w:t>
      </w:r>
      <w:r w:rsidR="007703A4">
        <w:fldChar w:fldCharType="end"/>
      </w:r>
      <w:r w:rsidR="00A76126">
        <w:fldChar w:fldCharType="begin"/>
      </w:r>
      <w:r w:rsidR="00A76126">
        <w:instrText xml:space="preserve"> REF _Ref20919537 \r \h </w:instrText>
      </w:r>
      <w:r w:rsidR="00A76126">
        <w:fldChar w:fldCharType="separate"/>
      </w:r>
      <w:r w:rsidR="009200D5">
        <w:t>[2]</w:t>
      </w:r>
      <w:r w:rsidR="00A76126">
        <w:fldChar w:fldCharType="end"/>
      </w:r>
      <w:r w:rsidR="00A76126">
        <w:t xml:space="preserve"> </w:t>
      </w:r>
      <w:r w:rsidR="00BA5D6A" w:rsidRPr="001C585A">
        <w:t>Section 7.2.1.3.2</w:t>
      </w:r>
      <w:r w:rsidRPr="001C585A">
        <w:t xml:space="preserve">, several potential RACH enhancements </w:t>
      </w:r>
      <w:r w:rsidR="00CF19E4" w:rsidRPr="001C585A">
        <w:t xml:space="preserve">beyond the functionality supported in Rel-15 </w:t>
      </w:r>
      <w:r w:rsidRPr="001C585A">
        <w:t>have been identified for further study</w:t>
      </w:r>
      <w:r w:rsidR="009717C0" w:rsidRPr="001C585A">
        <w:t>:</w:t>
      </w:r>
    </w:p>
    <w:p w14:paraId="5EC17793" w14:textId="77777777" w:rsidR="009717C0" w:rsidRPr="001C585A" w:rsidRDefault="009717C0" w:rsidP="004D76D8">
      <w:pPr>
        <w:spacing w:after="0" w:line="240" w:lineRule="auto"/>
        <w:rPr>
          <w:rFonts w:ascii="Times New Roman" w:eastAsia="SimSun" w:hAnsi="Times New Roman" w:cs="Times New Roman"/>
          <w:szCs w:val="20"/>
          <w:lang w:eastAsia="x-none"/>
        </w:rPr>
      </w:pPr>
      <w:r w:rsidRPr="001C585A">
        <w:rPr>
          <w:rFonts w:ascii="Times New Roman" w:eastAsia="SimSun" w:hAnsi="Times New Roman" w:cs="Times New Roman"/>
          <w:szCs w:val="20"/>
          <w:lang w:eastAsia="x-none"/>
        </w:rPr>
        <w:t>For potential RACH resource enhancements, the following options have been identified for NR-U, beyond the flexibility already available in Rel-15</w:t>
      </w:r>
      <w:r w:rsidRPr="00321409">
        <w:rPr>
          <w:rFonts w:ascii="Times New Roman" w:eastAsia="SimSun" w:hAnsi="Times New Roman" w:cs="Times New Roman"/>
          <w:szCs w:val="20"/>
          <w:lang w:eastAsia="x-none"/>
        </w:rPr>
        <w:t>, but consensus was not achieved. These options may be further considered when specifications are developed</w:t>
      </w:r>
      <w:r w:rsidRPr="001C585A">
        <w:rPr>
          <w:rFonts w:ascii="Times New Roman" w:eastAsia="SimSun" w:hAnsi="Times New Roman" w:cs="Times New Roman"/>
          <w:szCs w:val="20"/>
          <w:lang w:eastAsia="x-none"/>
        </w:rPr>
        <w:t>:</w:t>
      </w:r>
    </w:p>
    <w:p w14:paraId="3F152529" w14:textId="3B8542E0" w:rsidR="009717C0" w:rsidRPr="00321409" w:rsidRDefault="009717C0" w:rsidP="004D76D8">
      <w:pPr>
        <w:spacing w:after="0" w:line="240" w:lineRule="auto"/>
        <w:ind w:left="568"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lastRenderedPageBreak/>
        <w:t>-</w:t>
      </w:r>
      <w:r w:rsidRPr="00321409">
        <w:rPr>
          <w:rFonts w:ascii="Times New Roman" w:eastAsia="SimSun" w:hAnsi="Times New Roman" w:cs="Times New Roman"/>
          <w:szCs w:val="20"/>
          <w:lang w:eastAsia="x-none"/>
        </w:rPr>
        <w:tab/>
      </w:r>
      <w:r w:rsidRPr="00321409">
        <w:rPr>
          <w:rFonts w:ascii="Times New Roman" w:eastAsia="SimSun" w:hAnsi="Times New Roman" w:cs="Times New Roman"/>
          <w:b/>
          <w:szCs w:val="20"/>
          <w:highlight w:val="lightGray"/>
          <w:lang w:eastAsia="x-none"/>
        </w:rPr>
        <w:t>Frequency-domain enhancement</w:t>
      </w:r>
      <w:r w:rsidRPr="00321409">
        <w:rPr>
          <w:rFonts w:ascii="Times New Roman" w:eastAsia="SimSun" w:hAnsi="Times New Roman" w:cs="Times New Roman"/>
          <w:szCs w:val="20"/>
          <w:highlight w:val="lightGray"/>
          <w:lang w:eastAsia="x-none"/>
        </w:rPr>
        <w:t>: Multiple PRACH resources across multiple LBT sub-bands/carriers for both contention-free and contention-based RA</w:t>
      </w:r>
    </w:p>
    <w:p w14:paraId="293F58CF" w14:textId="77777777" w:rsidR="009717C0" w:rsidRPr="00321409" w:rsidRDefault="009717C0" w:rsidP="004D76D8">
      <w:pPr>
        <w:spacing w:after="0" w:line="240" w:lineRule="auto"/>
        <w:ind w:left="568"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r>
      <w:r w:rsidRPr="00321409">
        <w:rPr>
          <w:rFonts w:ascii="Times New Roman" w:eastAsia="SimSun" w:hAnsi="Times New Roman" w:cs="Times New Roman"/>
          <w:b/>
          <w:szCs w:val="20"/>
          <w:lang w:eastAsia="x-none"/>
        </w:rPr>
        <w:t>Time-domain enhancements</w:t>
      </w:r>
      <w:r w:rsidRPr="00321409">
        <w:rPr>
          <w:rFonts w:ascii="Times New Roman" w:eastAsia="SimSun" w:hAnsi="Times New Roman" w:cs="Times New Roman"/>
          <w:szCs w:val="20"/>
          <w:lang w:eastAsia="x-none"/>
        </w:rPr>
        <w:t>:</w:t>
      </w:r>
    </w:p>
    <w:p w14:paraId="7E3EB88A" w14:textId="77777777" w:rsidR="009717C0" w:rsidRPr="00321409" w:rsidRDefault="009717C0" w:rsidP="004D76D8">
      <w:pPr>
        <w:spacing w:after="0" w:line="240" w:lineRule="auto"/>
        <w:ind w:left="851"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 xml:space="preserve">For connected mode UE, scheduling of PRACH resources via DCI. </w:t>
      </w:r>
    </w:p>
    <w:p w14:paraId="473A80F1" w14:textId="77777777" w:rsidR="009717C0" w:rsidRPr="00321409" w:rsidRDefault="009717C0" w:rsidP="004D76D8">
      <w:pPr>
        <w:spacing w:after="0" w:line="240" w:lineRule="auto"/>
        <w:ind w:left="1135"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Triggered PRACH within gNB acquired COT can use a new resource indicated by the DCI</w:t>
      </w:r>
    </w:p>
    <w:p w14:paraId="2A716C4D" w14:textId="77777777" w:rsidR="009717C0" w:rsidRPr="00321409" w:rsidRDefault="009717C0" w:rsidP="004D76D8">
      <w:pPr>
        <w:spacing w:after="0" w:line="240" w:lineRule="auto"/>
        <w:ind w:left="851"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For idle mode UE, scheduling of PRACH resources via paging</w:t>
      </w:r>
    </w:p>
    <w:p w14:paraId="5C549C24" w14:textId="77777777" w:rsidR="009717C0" w:rsidRPr="00321409" w:rsidRDefault="009717C0" w:rsidP="004D76D8">
      <w:pPr>
        <w:spacing w:after="0" w:line="240" w:lineRule="auto"/>
        <w:ind w:left="1135"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Note: potential inefficiency in network resource due to paging across multiple cells</w:t>
      </w:r>
    </w:p>
    <w:p w14:paraId="34F6E693" w14:textId="77777777" w:rsidR="009717C0" w:rsidRPr="00321409" w:rsidRDefault="009717C0" w:rsidP="004D76D8">
      <w:pPr>
        <w:spacing w:after="0" w:line="240" w:lineRule="auto"/>
        <w:ind w:left="851" w:hanging="284"/>
        <w:rPr>
          <w:rFonts w:ascii="Times New Roman" w:eastAsia="SimSun" w:hAnsi="Times New Roman" w:cs="Times New Roman"/>
          <w:szCs w:val="20"/>
          <w:highlight w:val="lightGray"/>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r>
      <w:r w:rsidRPr="00321409">
        <w:rPr>
          <w:rFonts w:ascii="Times New Roman" w:eastAsia="SimSun" w:hAnsi="Times New Roman" w:cs="Times New Roman"/>
          <w:szCs w:val="20"/>
          <w:highlight w:val="lightGray"/>
          <w:lang w:eastAsia="x-none"/>
        </w:rPr>
        <w:t>Additional, new RACH resources are used immediately following detection of DRS transmission</w:t>
      </w:r>
    </w:p>
    <w:p w14:paraId="7EF8528A" w14:textId="77777777" w:rsidR="009717C0" w:rsidRPr="00321409" w:rsidRDefault="009717C0" w:rsidP="004D76D8">
      <w:pPr>
        <w:spacing w:after="0" w:line="240" w:lineRule="auto"/>
        <w:ind w:left="851" w:hanging="284"/>
        <w:rPr>
          <w:rFonts w:ascii="Times New Roman" w:eastAsia="SimSun" w:hAnsi="Times New Roman" w:cs="Times New Roman"/>
          <w:szCs w:val="20"/>
          <w:highlight w:val="lightGray"/>
          <w:lang w:eastAsia="x-none"/>
        </w:rPr>
      </w:pPr>
      <w:r w:rsidRPr="00321409">
        <w:rPr>
          <w:rFonts w:ascii="Times New Roman" w:eastAsia="SimSun" w:hAnsi="Times New Roman" w:cs="Times New Roman"/>
          <w:szCs w:val="20"/>
          <w:highlight w:val="lightGray"/>
          <w:lang w:eastAsia="x-none"/>
        </w:rPr>
        <w:t>-</w:t>
      </w:r>
      <w:r w:rsidRPr="00321409">
        <w:rPr>
          <w:rFonts w:ascii="Times New Roman" w:eastAsia="SimSun" w:hAnsi="Times New Roman" w:cs="Times New Roman"/>
          <w:szCs w:val="20"/>
          <w:highlight w:val="lightGray"/>
          <w:lang w:eastAsia="x-none"/>
        </w:rPr>
        <w:tab/>
        <w:t>Multiple PRACH transmissions before Msg2 reception in RAR window for initial access</w:t>
      </w:r>
    </w:p>
    <w:p w14:paraId="178380BB" w14:textId="02635A81" w:rsidR="009717C0" w:rsidRPr="00321409" w:rsidRDefault="009717C0" w:rsidP="004D76D8">
      <w:pPr>
        <w:spacing w:after="0" w:line="240" w:lineRule="auto"/>
        <w:ind w:left="1135" w:hanging="284"/>
        <w:rPr>
          <w:rFonts w:ascii="Times New Roman" w:eastAsia="SimSun" w:hAnsi="Times New Roman" w:cs="Times New Roman"/>
          <w:szCs w:val="20"/>
          <w:lang w:eastAsia="x-none"/>
        </w:rPr>
      </w:pPr>
      <w:r w:rsidRPr="00321409">
        <w:rPr>
          <w:rFonts w:ascii="Times New Roman" w:eastAsia="SimSun" w:hAnsi="Times New Roman" w:cs="Times New Roman"/>
          <w:szCs w:val="20"/>
          <w:highlight w:val="lightGray"/>
          <w:lang w:eastAsia="x-none"/>
        </w:rPr>
        <w:t>-</w:t>
      </w:r>
      <w:r w:rsidRPr="00321409">
        <w:rPr>
          <w:rFonts w:ascii="Times New Roman" w:eastAsia="SimSun" w:hAnsi="Times New Roman" w:cs="Times New Roman"/>
          <w:szCs w:val="20"/>
          <w:highlight w:val="lightGray"/>
          <w:lang w:eastAsia="x-none"/>
        </w:rPr>
        <w:tab/>
        <w:t>Number of allowed transmissions is pre-defined or indicated, e.g., in RMSI</w:t>
      </w:r>
    </w:p>
    <w:p w14:paraId="2AEE3E82" w14:textId="77777777" w:rsidR="009717C0" w:rsidRPr="00321409" w:rsidRDefault="009717C0" w:rsidP="004D76D8">
      <w:pPr>
        <w:spacing w:after="0" w:line="240" w:lineRule="auto"/>
        <w:ind w:left="851"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Group wise SSB-to-RO mapping by frequency first-time second manner, where grouping is in time domain</w:t>
      </w:r>
    </w:p>
    <w:p w14:paraId="42EA0EE1" w14:textId="77777777" w:rsidR="00BA5D6A" w:rsidRPr="001C585A" w:rsidRDefault="00BA5D6A" w:rsidP="004D76D8">
      <w:pPr>
        <w:pStyle w:val="BodyText"/>
      </w:pPr>
    </w:p>
    <w:p w14:paraId="3D30CBC2" w14:textId="5EBEECE1" w:rsidR="00EB3450" w:rsidRPr="001C585A" w:rsidRDefault="00EB3450" w:rsidP="004D76D8">
      <w:pPr>
        <w:pStyle w:val="BodyText"/>
      </w:pPr>
      <w:r>
        <w:t>Based on the guidance provided by RAN</w:t>
      </w:r>
      <w:r w:rsidR="00100D3B">
        <w:t xml:space="preserve"> on essential functionality for NR-U </w:t>
      </w:r>
      <w:r w:rsidR="00100D3B">
        <w:fldChar w:fldCharType="begin"/>
      </w:r>
      <w:r w:rsidR="00100D3B">
        <w:instrText xml:space="preserve"> REF _Ref16172201 \r \h </w:instrText>
      </w:r>
      <w:r w:rsidR="00100D3B">
        <w:fldChar w:fldCharType="separate"/>
      </w:r>
      <w:r w:rsidR="009200D5">
        <w:t>[3]</w:t>
      </w:r>
      <w:r w:rsidR="00100D3B">
        <w:fldChar w:fldCharType="end"/>
      </w:r>
      <w:r w:rsidR="00100D3B">
        <w:t xml:space="preserve">, the </w:t>
      </w:r>
      <w:r w:rsidR="00100D3B" w:rsidRPr="00321409">
        <w:rPr>
          <w:highlight w:val="lightGray"/>
        </w:rPr>
        <w:t>greyed</w:t>
      </w:r>
      <w:r w:rsidR="00100D3B">
        <w:t>-out items in the above list have been down-prioritized, hence we do not consider them here.</w:t>
      </w:r>
    </w:p>
    <w:p w14:paraId="1B964CEB" w14:textId="2F1A769C" w:rsidR="00F911F5" w:rsidRPr="001C585A" w:rsidRDefault="00100D3B">
      <w:pPr>
        <w:pStyle w:val="BodyText"/>
      </w:pPr>
      <w:r>
        <w:t xml:space="preserve">Out of the remaining items, the first </w:t>
      </w:r>
      <w:r w:rsidR="00A23920" w:rsidRPr="001C585A">
        <w:t>listed</w:t>
      </w:r>
      <w:r w:rsidR="00F911F5" w:rsidRPr="001C585A">
        <w:t xml:space="preserve"> enhancement is scheduling of PRACH resources via DCI. This is, however, a potential latency optimization, </w:t>
      </w:r>
      <w:r w:rsidR="00C71375" w:rsidRPr="001C585A">
        <w:t xml:space="preserve">and our view is that it is not critical for </w:t>
      </w:r>
      <w:r w:rsidR="00F911F5" w:rsidRPr="001C585A">
        <w:t xml:space="preserve">Rel-16. It can instead be </w:t>
      </w:r>
      <w:r w:rsidR="005D5855" w:rsidRPr="001C585A">
        <w:t>considered for a later release</w:t>
      </w:r>
      <w:r w:rsidR="00F911F5" w:rsidRPr="001C585A">
        <w:t xml:space="preserve"> in a backwards-compatible </w:t>
      </w:r>
      <w:r w:rsidR="005D5855" w:rsidRPr="001C585A">
        <w:t>manner</w:t>
      </w:r>
      <w:r w:rsidR="00F911F5" w:rsidRPr="001C585A">
        <w:t>.</w:t>
      </w:r>
    </w:p>
    <w:p w14:paraId="68823D05" w14:textId="6B3675C2" w:rsidR="00F911F5" w:rsidRPr="001C585A" w:rsidRDefault="00F911F5">
      <w:pPr>
        <w:pStyle w:val="Observation"/>
      </w:pPr>
      <w:bookmarkStart w:id="48" w:name="_Toc528677247"/>
      <w:bookmarkStart w:id="49" w:name="_Toc24104673"/>
      <w:r w:rsidRPr="001C585A">
        <w:t xml:space="preserve">Scheduling of PRACH resources via DCI is an optimization </w:t>
      </w:r>
      <w:r w:rsidR="00C71375" w:rsidRPr="001C585A">
        <w:t xml:space="preserve">and is not critical for the first release of NR-U. </w:t>
      </w:r>
      <w:r w:rsidR="005D5855" w:rsidRPr="001C585A">
        <w:t xml:space="preserve">It </w:t>
      </w:r>
      <w:r w:rsidRPr="001C585A">
        <w:t xml:space="preserve">can be </w:t>
      </w:r>
      <w:r w:rsidR="005D5855" w:rsidRPr="001C585A">
        <w:t>considered for a later release</w:t>
      </w:r>
      <w:r w:rsidRPr="001C585A">
        <w:t xml:space="preserve"> in a backwards-compatible </w:t>
      </w:r>
      <w:r w:rsidR="005D5855" w:rsidRPr="001C585A">
        <w:t>manner</w:t>
      </w:r>
      <w:r w:rsidRPr="001C585A">
        <w:t>.</w:t>
      </w:r>
      <w:bookmarkEnd w:id="48"/>
      <w:bookmarkEnd w:id="49"/>
    </w:p>
    <w:p w14:paraId="3E349E80" w14:textId="709A9A1B" w:rsidR="00F911F5" w:rsidRPr="001C585A" w:rsidRDefault="00F911F5">
      <w:pPr>
        <w:pStyle w:val="Proposal"/>
      </w:pPr>
      <w:bookmarkStart w:id="50" w:name="_Toc528677262"/>
      <w:bookmarkStart w:id="51" w:name="_Toc24104658"/>
      <w:r w:rsidRPr="001C585A">
        <w:t>Scheduling of PRACH resources via DCI should not be supported in Rel-16.</w:t>
      </w:r>
      <w:bookmarkEnd w:id="50"/>
      <w:bookmarkEnd w:id="51"/>
    </w:p>
    <w:p w14:paraId="68507983" w14:textId="1443DE15" w:rsidR="00F964A1" w:rsidRPr="001C585A" w:rsidRDefault="00100D3B">
      <w:pPr>
        <w:pStyle w:val="BodyText"/>
      </w:pPr>
      <w:r>
        <w:t>The third remaining</w:t>
      </w:r>
      <w:r w:rsidR="00F964A1" w:rsidRPr="001C585A">
        <w:t xml:space="preserve"> enhancement is group wise SSB-to-RO mapping by frequency first-time second manner</w:t>
      </w:r>
      <w:r w:rsidR="00A21C34" w:rsidRPr="001C585A">
        <w:t xml:space="preserve">, where grouping is in time domain. </w:t>
      </w:r>
      <w:r w:rsidR="006A376F" w:rsidRPr="001C585A">
        <w:t>The</w:t>
      </w:r>
      <w:r w:rsidR="00A21C34" w:rsidRPr="001C585A">
        <w:t xml:space="preserve"> motivation</w:t>
      </w:r>
      <w:r w:rsidR="006A376F" w:rsidRPr="001C585A">
        <w:t xml:space="preserve"> is</w:t>
      </w:r>
      <w:r w:rsidR="00A21C34" w:rsidRPr="001C585A">
        <w:t xml:space="preserve"> to provide multiple transmit opportunities in time domain for a PRACH transmission. However, multiple PRACH transmit opportunities can be obtained already in Rel-15 </w:t>
      </w:r>
      <w:r w:rsidR="006A376F" w:rsidRPr="001C585A">
        <w:t>based</w:t>
      </w:r>
      <w:r w:rsidR="00A21C34" w:rsidRPr="001C585A">
        <w:t xml:space="preserve"> </w:t>
      </w:r>
      <w:r w:rsidR="006A376F" w:rsidRPr="001C585A">
        <w:t>on</w:t>
      </w:r>
      <w:r w:rsidR="00A21C34" w:rsidRPr="001C585A">
        <w:t xml:space="preserve"> cyclic repetition of the </w:t>
      </w:r>
      <w:r w:rsidR="006A376F" w:rsidRPr="001C585A">
        <w:t xml:space="preserve">SSB-to-RO </w:t>
      </w:r>
      <w:r w:rsidR="00A21C34" w:rsidRPr="001C585A">
        <w:t xml:space="preserve">mapping. See </w:t>
      </w:r>
      <w:r w:rsidR="006A376F" w:rsidRPr="001C585A">
        <w:t xml:space="preserve">example and </w:t>
      </w:r>
      <w:r w:rsidR="00A21C34" w:rsidRPr="001C585A">
        <w:t xml:space="preserve">further discussion above </w:t>
      </w:r>
      <w:r w:rsidR="006A376F" w:rsidRPr="001C585A">
        <w:t xml:space="preserve">in conjunction with </w:t>
      </w:r>
      <w:r w:rsidR="006A376F" w:rsidRPr="00BE017E">
        <w:fldChar w:fldCharType="begin"/>
      </w:r>
      <w:r w:rsidR="006A376F" w:rsidRPr="001C585A">
        <w:instrText xml:space="preserve"> REF _Ref528856309 \r \h </w:instrText>
      </w:r>
      <w:r w:rsidR="006A376F" w:rsidRPr="00BE017E">
        <w:fldChar w:fldCharType="separate"/>
      </w:r>
      <w:r w:rsidR="009200D5">
        <w:t>Observation 6</w:t>
      </w:r>
      <w:r w:rsidR="006A376F" w:rsidRPr="00BE017E">
        <w:fldChar w:fldCharType="end"/>
      </w:r>
      <w:r w:rsidR="00F964A1" w:rsidRPr="001C585A">
        <w:t>.</w:t>
      </w:r>
    </w:p>
    <w:p w14:paraId="1E0ECF6A" w14:textId="53D37834" w:rsidR="001F3C76" w:rsidRPr="001C585A" w:rsidRDefault="008C2E40" w:rsidP="001F3C76">
      <w:pPr>
        <w:pStyle w:val="Observation"/>
      </w:pPr>
      <w:bookmarkStart w:id="52" w:name="_Hlk528835493"/>
      <w:bookmarkStart w:id="53" w:name="_Toc24104674"/>
      <w:r w:rsidRPr="001C585A">
        <w:t xml:space="preserve">Mappings </w:t>
      </w:r>
      <w:proofErr w:type="gramStart"/>
      <w:r w:rsidRPr="001C585A">
        <w:t>similar to</w:t>
      </w:r>
      <w:proofErr w:type="gramEnd"/>
      <w:r w:rsidRPr="001C585A">
        <w:t xml:space="preserve"> group-wise </w:t>
      </w:r>
      <w:r w:rsidR="00C55765" w:rsidRPr="001C585A">
        <w:t>SSB-to-RO mapping</w:t>
      </w:r>
      <w:r w:rsidRPr="001C585A">
        <w:t xml:space="preserve"> </w:t>
      </w:r>
      <w:r w:rsidR="002846AC">
        <w:t>is</w:t>
      </w:r>
      <w:r w:rsidR="002846AC" w:rsidRPr="001C585A">
        <w:t xml:space="preserve"> </w:t>
      </w:r>
      <w:r w:rsidRPr="001C585A">
        <w:t>already supported in NR Rel-15.</w:t>
      </w:r>
      <w:bookmarkEnd w:id="53"/>
      <w:r w:rsidRPr="001C585A">
        <w:t xml:space="preserve"> </w:t>
      </w:r>
      <w:r w:rsidR="00C55765" w:rsidRPr="001C585A">
        <w:t xml:space="preserve"> </w:t>
      </w:r>
    </w:p>
    <w:p w14:paraId="610FE3A3" w14:textId="0AAB89E6" w:rsidR="00854441" w:rsidRPr="00B214A6" w:rsidRDefault="00DD5FB0" w:rsidP="0088658F">
      <w:pPr>
        <w:pStyle w:val="Heading2"/>
      </w:pPr>
      <w:bookmarkStart w:id="54" w:name="_Hlk4589346"/>
      <w:r>
        <w:t>5</w:t>
      </w:r>
      <w:r w:rsidR="0088658F" w:rsidRPr="00B214A6">
        <w:t>.</w:t>
      </w:r>
      <w:r w:rsidR="00680FD5" w:rsidRPr="00B214A6">
        <w:t xml:space="preserve">1 </w:t>
      </w:r>
      <w:r w:rsidR="00380F56" w:rsidRPr="00B214A6">
        <w:t>Msg</w:t>
      </w:r>
      <w:r w:rsidR="005B25CB" w:rsidRPr="00B214A6">
        <w:t>3</w:t>
      </w:r>
      <w:r w:rsidR="00380F56" w:rsidRPr="00B214A6">
        <w:t xml:space="preserve"> transmission </w:t>
      </w:r>
      <w:r w:rsidR="00AC7583" w:rsidRPr="00B214A6">
        <w:t>and RAR</w:t>
      </w:r>
    </w:p>
    <w:p w14:paraId="29EF45B9" w14:textId="68B56AE5" w:rsidR="00C54C24" w:rsidRDefault="00FB1BA5" w:rsidP="00E80718">
      <w:pPr>
        <w:pStyle w:val="BodyText"/>
      </w:pPr>
      <w:r>
        <w:t xml:space="preserve">Multiple </w:t>
      </w:r>
      <w:r w:rsidR="00FB0FB6">
        <w:t xml:space="preserve">Msg TX </w:t>
      </w:r>
      <w:r w:rsidR="004B2E58">
        <w:t>opportunities</w:t>
      </w:r>
      <w:r w:rsidR="00FB0FB6">
        <w:t xml:space="preserve"> with a single or </w:t>
      </w:r>
      <w:r w:rsidR="004B2E58">
        <w:t xml:space="preserve">multiple RARs in the time domain </w:t>
      </w:r>
      <w:r w:rsidR="004C6013">
        <w:t>has been discussed</w:t>
      </w:r>
      <w:r w:rsidR="00BA5D11">
        <w:t xml:space="preserve"> both in RAN1 and RAN2</w:t>
      </w:r>
      <w:r w:rsidR="004C6013">
        <w:t>. However, in RAN</w:t>
      </w:r>
      <w:r w:rsidR="00C447EB">
        <w:t>#84</w:t>
      </w:r>
      <w:r w:rsidR="00802E7D">
        <w:t xml:space="preserve"> this was listed as a</w:t>
      </w:r>
      <w:r w:rsidR="00F517E4">
        <w:t>n</w:t>
      </w:r>
      <w:r w:rsidR="00802E7D">
        <w:t xml:space="preserve"> optimization </w:t>
      </w:r>
      <w:r w:rsidR="00F517E4">
        <w:fldChar w:fldCharType="begin"/>
      </w:r>
      <w:r w:rsidR="00F517E4">
        <w:instrText xml:space="preserve"> REF _Ref16172201 \r \h </w:instrText>
      </w:r>
      <w:r w:rsidR="00F517E4">
        <w:fldChar w:fldCharType="separate"/>
      </w:r>
      <w:r w:rsidR="009200D5">
        <w:t>[3]</w:t>
      </w:r>
      <w:r w:rsidR="00F517E4">
        <w:fldChar w:fldCharType="end"/>
      </w:r>
      <w:r w:rsidR="00E80718">
        <w:t>:</w:t>
      </w:r>
    </w:p>
    <w:p w14:paraId="4491B79D" w14:textId="77777777" w:rsidR="00CE0761" w:rsidRDefault="00CE0761" w:rsidP="00CE0761">
      <w:r>
        <w:rPr>
          <w:b/>
          <w:bCs/>
        </w:rPr>
        <w:t>Optimizations</w:t>
      </w:r>
    </w:p>
    <w:p w14:paraId="253DD92E" w14:textId="77777777" w:rsidR="00CE0761" w:rsidRDefault="00CE0761" w:rsidP="00CE0761">
      <w:pPr>
        <w:numPr>
          <w:ilvl w:val="0"/>
          <w:numId w:val="37"/>
        </w:numPr>
        <w:spacing w:line="256" w:lineRule="auto"/>
      </w:pPr>
      <w:r>
        <w:rPr>
          <w:b/>
          <w:bCs/>
          <w:lang w:val="x-none"/>
        </w:rPr>
        <w:t>MSG3</w:t>
      </w:r>
    </w:p>
    <w:p w14:paraId="50C176B4" w14:textId="77777777" w:rsidR="00CE0761" w:rsidRDefault="00CE0761" w:rsidP="00CE0761">
      <w:pPr>
        <w:numPr>
          <w:ilvl w:val="1"/>
          <w:numId w:val="37"/>
        </w:numPr>
        <w:spacing w:line="256" w:lineRule="auto"/>
      </w:pPr>
      <w:r>
        <w:t xml:space="preserve">Multiple opportunities (RAN2 sent </w:t>
      </w:r>
      <w:proofErr w:type="gramStart"/>
      <w:r>
        <w:t>an</w:t>
      </w:r>
      <w:proofErr w:type="gramEnd"/>
      <w:r>
        <w:t xml:space="preserve"> LS to RAN1 for feasibility) can impact MAC.</w:t>
      </w:r>
    </w:p>
    <w:p w14:paraId="7D095585" w14:textId="77777777" w:rsidR="00CE0761" w:rsidRPr="00A50E8A" w:rsidRDefault="00CE0761" w:rsidP="00E80718">
      <w:pPr>
        <w:pStyle w:val="BodyText"/>
        <w:rPr>
          <w:rFonts w:ascii="Times New Roman" w:hAnsi="Times New Roman" w:cs="Times New Roman"/>
          <w:sz w:val="20"/>
        </w:rPr>
      </w:pPr>
    </w:p>
    <w:p w14:paraId="3C9D5DF8" w14:textId="755EF28C" w:rsidR="004B6E03" w:rsidRDefault="004B6E03" w:rsidP="004B6E03">
      <w:pPr>
        <w:pStyle w:val="Observation"/>
      </w:pPr>
      <w:bookmarkStart w:id="55" w:name="_Toc24104675"/>
      <w:r>
        <w:t xml:space="preserve">Multiple Msg3 TX opportunities with a single or multiple RARs in the time domain </w:t>
      </w:r>
      <w:r w:rsidR="00E10CD5">
        <w:t xml:space="preserve">was </w:t>
      </w:r>
      <w:r w:rsidR="007E3D21">
        <w:t>depr</w:t>
      </w:r>
      <w:r w:rsidR="00E80718">
        <w:t>ioritized</w:t>
      </w:r>
      <w:r w:rsidR="00E10CD5">
        <w:t xml:space="preserve"> in RAN#84</w:t>
      </w:r>
      <w:r>
        <w:t>.</w:t>
      </w:r>
      <w:bookmarkEnd w:id="55"/>
    </w:p>
    <w:p w14:paraId="3BA62D90" w14:textId="4C62C0BE" w:rsidR="00E80718" w:rsidRDefault="00E80718" w:rsidP="00E80718">
      <w:pPr>
        <w:pStyle w:val="BodyText"/>
      </w:pPr>
      <w:r>
        <w:t xml:space="preserve">In addition, </w:t>
      </w:r>
      <w:r w:rsidR="005E3119">
        <w:t xml:space="preserve">in </w:t>
      </w:r>
      <w:r>
        <w:t>RAN1</w:t>
      </w:r>
      <w:r w:rsidR="00066557">
        <w:t>#97</w:t>
      </w:r>
      <w:r>
        <w:t xml:space="preserve"> the following agreement which facilitates gNB channel occupancy sharing with a UE for Msg3</w:t>
      </w:r>
      <w:r w:rsidR="004E2930">
        <w:t xml:space="preserve"> was made </w:t>
      </w:r>
      <w:r w:rsidR="00CF6B57">
        <w:t>an</w:t>
      </w:r>
      <w:r w:rsidR="004C1B6C">
        <w:t xml:space="preserve">d </w:t>
      </w:r>
      <w:proofErr w:type="gramStart"/>
      <w:r w:rsidR="004C1B6C">
        <w:t>an</w:t>
      </w:r>
      <w:proofErr w:type="gramEnd"/>
      <w:r w:rsidR="004C1B6C">
        <w:t xml:space="preserve"> LS response was sent to RAN2</w:t>
      </w:r>
      <w:r>
        <w:t>:</w:t>
      </w:r>
    </w:p>
    <w:p w14:paraId="767E77B1" w14:textId="712ECABF" w:rsidR="004636E4" w:rsidRDefault="00E80718" w:rsidP="00E80718">
      <w:pPr>
        <w:pStyle w:val="BodyText"/>
        <w:rPr>
          <w:rFonts w:ascii="Times New Roman" w:hAnsi="Times New Roman" w:cs="Times New Roman"/>
          <w:sz w:val="20"/>
        </w:rPr>
      </w:pPr>
      <w:r w:rsidRPr="00A50E8A">
        <w:rPr>
          <w:rFonts w:ascii="Times New Roman" w:hAnsi="Times New Roman" w:cs="Times New Roman"/>
          <w:sz w:val="20"/>
          <w:highlight w:val="green"/>
        </w:rPr>
        <w:t>Agreement:</w:t>
      </w:r>
      <w:r>
        <w:rPr>
          <w:rFonts w:ascii="Times New Roman" w:hAnsi="Times New Roman" w:cs="Times New Roman"/>
          <w:sz w:val="20"/>
        </w:rPr>
        <w:br/>
      </w:r>
      <w:r w:rsidRPr="00A50E8A">
        <w:rPr>
          <w:rFonts w:ascii="Times New Roman" w:hAnsi="Times New Roman" w:cs="Times New Roman"/>
          <w:sz w:val="20"/>
        </w:rPr>
        <w:t>LBT category for msg 3 initial transmission is provided to the UE in RAR</w:t>
      </w:r>
    </w:p>
    <w:p w14:paraId="07C4D063" w14:textId="77777777" w:rsidR="00CC070E" w:rsidRDefault="00DD520B" w:rsidP="007725E8">
      <w:pPr>
        <w:pStyle w:val="BodyText"/>
      </w:pPr>
      <w:r>
        <w:lastRenderedPageBreak/>
        <w:t xml:space="preserve">The LS response triggered some discussion in RAN2 </w:t>
      </w:r>
      <w:r w:rsidR="00B84991">
        <w:t xml:space="preserve">regarding the </w:t>
      </w:r>
      <w:r w:rsidR="00DA5142">
        <w:t xml:space="preserve">details on </w:t>
      </w:r>
      <w:r w:rsidR="00510A91">
        <w:t xml:space="preserve">how the LBT category </w:t>
      </w:r>
      <w:r w:rsidR="00DA7065">
        <w:t xml:space="preserve">is provided in the RAR. </w:t>
      </w:r>
      <w:r w:rsidR="00B81A2D">
        <w:t xml:space="preserve">Especially </w:t>
      </w:r>
      <w:r w:rsidR="00946129">
        <w:t xml:space="preserve">the issue </w:t>
      </w:r>
      <w:r w:rsidR="005D4AD7">
        <w:t xml:space="preserve">of if the size of the RAR </w:t>
      </w:r>
      <w:r w:rsidR="00703C6A">
        <w:t xml:space="preserve">will </w:t>
      </w:r>
      <w:r w:rsidR="000A549A">
        <w:t xml:space="preserve">change when including </w:t>
      </w:r>
      <w:r w:rsidR="00411964">
        <w:t>the LBT category</w:t>
      </w:r>
      <w:r w:rsidR="00D86FB0">
        <w:t xml:space="preserve"> was discussed.</w:t>
      </w:r>
    </w:p>
    <w:p w14:paraId="2BD32C47" w14:textId="09D6F5C0" w:rsidR="00A33500" w:rsidRDefault="00682A29" w:rsidP="0096747E">
      <w:pPr>
        <w:pStyle w:val="BodyText"/>
      </w:pPr>
      <w:r>
        <w:t xml:space="preserve">In our companion paper </w:t>
      </w:r>
      <w:r w:rsidR="001656DD">
        <w:fldChar w:fldCharType="begin"/>
      </w:r>
      <w:r w:rsidR="001656DD">
        <w:instrText xml:space="preserve"> REF _Ref20829883 \r \h </w:instrText>
      </w:r>
      <w:r w:rsidR="001656DD">
        <w:fldChar w:fldCharType="separate"/>
      </w:r>
      <w:r w:rsidR="009200D5">
        <w:t>[7]</w:t>
      </w:r>
      <w:r w:rsidR="001656DD">
        <w:fldChar w:fldCharType="end"/>
      </w:r>
      <w:r w:rsidR="001656DD">
        <w:t xml:space="preserve"> we discuss</w:t>
      </w:r>
      <w:r w:rsidR="001656DD">
        <w:rPr>
          <w:lang w:eastAsia="sv-SE"/>
        </w:rPr>
        <w:t xml:space="preserve"> that is better to have a generic signaling solution which is applicable to </w:t>
      </w:r>
      <w:r w:rsidR="00DA4C79">
        <w:rPr>
          <w:lang w:eastAsia="sv-SE"/>
        </w:rPr>
        <w:t>cases where uplink control signaling is triggered within a</w:t>
      </w:r>
      <w:r w:rsidR="001D5D39">
        <w:rPr>
          <w:lang w:eastAsia="sv-SE"/>
        </w:rPr>
        <w:t xml:space="preserve"> shared COT acquired by the gNB</w:t>
      </w:r>
      <w:r w:rsidR="001656DD">
        <w:rPr>
          <w:lang w:eastAsia="sv-SE"/>
        </w:rPr>
        <w:t xml:space="preserve">. Therefore, DL DCI should also include </w:t>
      </w:r>
      <w:r w:rsidR="00E21147">
        <w:rPr>
          <w:lang w:eastAsia="sv-SE"/>
        </w:rPr>
        <w:t xml:space="preserve">an </w:t>
      </w:r>
      <w:r w:rsidR="001656DD">
        <w:rPr>
          <w:lang w:eastAsia="sv-SE"/>
        </w:rPr>
        <w:t>LBT type field that corresponds to the triggered UL transmission.</w:t>
      </w:r>
      <w:r w:rsidR="00D71CBB">
        <w:rPr>
          <w:lang w:eastAsia="sv-SE"/>
        </w:rPr>
        <w:t xml:space="preserve"> In</w:t>
      </w:r>
      <w:r w:rsidR="00D71CBB">
        <w:t xml:space="preserve"> </w:t>
      </w:r>
      <w:r w:rsidR="00D71CBB">
        <w:fldChar w:fldCharType="begin"/>
      </w:r>
      <w:r w:rsidR="00D71CBB">
        <w:instrText xml:space="preserve"> REF _Ref20829883 \r \h </w:instrText>
      </w:r>
      <w:r w:rsidR="00D71CBB">
        <w:fldChar w:fldCharType="separate"/>
      </w:r>
      <w:r w:rsidR="009200D5">
        <w:t>[7]</w:t>
      </w:r>
      <w:r w:rsidR="00D71CBB">
        <w:fldChar w:fldCharType="end"/>
      </w:r>
      <w:r w:rsidR="00D71CBB">
        <w:t xml:space="preserve"> </w:t>
      </w:r>
      <w:r w:rsidR="00BB657E">
        <w:t>the following proposal is made which is repeated here</w:t>
      </w:r>
      <w:r w:rsidR="00A33500">
        <w:t>:</w:t>
      </w:r>
    </w:p>
    <w:p w14:paraId="213ED977" w14:textId="462D0BEB" w:rsidR="0096747E" w:rsidRDefault="0096747E" w:rsidP="00B214A6">
      <w:pPr>
        <w:pStyle w:val="Proposal"/>
      </w:pPr>
      <w:bookmarkStart w:id="56" w:name="_Ref23933571"/>
      <w:bookmarkStart w:id="57" w:name="_Toc24104659"/>
      <w:r>
        <w:t xml:space="preserve">The </w:t>
      </w:r>
      <w:r w:rsidR="00A03CA1" w:rsidRPr="00103151">
        <w:t>LBT indication</w:t>
      </w:r>
      <w:r>
        <w:t xml:space="preserve"> corresponding to the UL control signal is signaled in the DCI triggering the UL control signal transmission. </w:t>
      </w:r>
      <w:r w:rsidR="00A03CA1">
        <w:t xml:space="preserve">The </w:t>
      </w:r>
      <w:r w:rsidR="00A03CA1" w:rsidRPr="00103151">
        <w:t>LBT indication</w:t>
      </w:r>
      <w:r w:rsidR="00A03CA1">
        <w:t xml:space="preserve"> </w:t>
      </w:r>
      <w:r>
        <w:t xml:space="preserve">is included in: </w:t>
      </w:r>
      <w:r>
        <w:br/>
        <w:t>-</w:t>
      </w:r>
      <w:r>
        <w:tab/>
      </w:r>
      <w:r w:rsidRPr="003815F5">
        <w:t>DCI format 1_0 scrambled with RA-RNTI carrying the DL assignments for reception of the RAR messages (Msg2)</w:t>
      </w:r>
      <w:r>
        <w:t xml:space="preserve">. The LBT type is applicable to Msg 3 transmission </w:t>
      </w:r>
      <w:r>
        <w:br/>
        <w:t xml:space="preserve">- </w:t>
      </w:r>
      <w:r>
        <w:tab/>
      </w:r>
      <w:r w:rsidRPr="003815F5">
        <w:t>DCI format 1_0 and 1_1 scrambled with C-RNTI carrying the DL assignments. The LBT type is applicable to the UL control signal transmission triggered by the DCI.</w:t>
      </w:r>
      <w:bookmarkEnd w:id="56"/>
      <w:bookmarkEnd w:id="57"/>
    </w:p>
    <w:p w14:paraId="1E20491E" w14:textId="33791A31" w:rsidR="00894A8C" w:rsidRDefault="005E157A" w:rsidP="00894A8C">
      <w:pPr>
        <w:pStyle w:val="BodyText"/>
      </w:pPr>
      <w:r>
        <w:t xml:space="preserve">Given that the LBT category is </w:t>
      </w:r>
      <w:r w:rsidR="006B0AFB">
        <w:t xml:space="preserve">provided in the DCI, there is no need for RAN2 </w:t>
      </w:r>
      <w:r w:rsidR="00693978">
        <w:t>to further discuss this matter. Thus</w:t>
      </w:r>
      <w:r w:rsidR="00E35B02">
        <w:t>,</w:t>
      </w:r>
      <w:r w:rsidR="00693978">
        <w:t xml:space="preserve"> we propose the following:</w:t>
      </w:r>
    </w:p>
    <w:p w14:paraId="26A303C4" w14:textId="1F058182" w:rsidR="00010AED" w:rsidRDefault="00894A8C" w:rsidP="00B214A6">
      <w:pPr>
        <w:pStyle w:val="Proposal"/>
      </w:pPr>
      <w:bookmarkStart w:id="58" w:name="_Toc24104660"/>
      <w:r>
        <w:t>Inform RAN2 that the LBT category for msg 3 transmission is provided to the UE in the DCI carrying DL assignments for the RAR messages</w:t>
      </w:r>
      <w:r w:rsidR="00712FB2">
        <w:t xml:space="preserve"> and that no further action is required by RAN2 on this matter.</w:t>
      </w:r>
      <w:bookmarkEnd w:id="58"/>
    </w:p>
    <w:p w14:paraId="6CFE17EA" w14:textId="492F0233" w:rsidR="00894A8C" w:rsidRPr="001C585A" w:rsidRDefault="00DD5FB0" w:rsidP="006B0471">
      <w:pPr>
        <w:pStyle w:val="Heading2"/>
      </w:pPr>
      <w:r>
        <w:t>5</w:t>
      </w:r>
      <w:r w:rsidR="006B0471">
        <w:t xml:space="preserve">.2 </w:t>
      </w:r>
      <w:r w:rsidR="006B0471" w:rsidRPr="006B0471">
        <w:t>LS on SFN LSB indication in msg2/</w:t>
      </w:r>
      <w:proofErr w:type="spellStart"/>
      <w:r w:rsidR="006B0471" w:rsidRPr="006B0471">
        <w:t>msgB</w:t>
      </w:r>
      <w:proofErr w:type="spellEnd"/>
    </w:p>
    <w:bookmarkEnd w:id="52"/>
    <w:bookmarkEnd w:id="54"/>
    <w:p w14:paraId="3F604021" w14:textId="1A7D20A3" w:rsidR="006B0471" w:rsidRPr="006B0471" w:rsidRDefault="006B0471" w:rsidP="006B0471">
      <w:pPr>
        <w:pStyle w:val="BodyText"/>
      </w:pPr>
      <w:r w:rsidRPr="006B0471">
        <w:t>RAN2#107bis has further discussed the signaling of SFN LSB and agreed on the following:</w:t>
      </w:r>
    </w:p>
    <w:p w14:paraId="2C4D0DB0" w14:textId="77777777" w:rsidR="006B0471" w:rsidRPr="006B0471" w:rsidRDefault="006B0471" w:rsidP="006B0471">
      <w:pPr>
        <w:pStyle w:val="CRCoverPage"/>
        <w:jc w:val="both"/>
        <w:rPr>
          <w:rFonts w:eastAsia="Batang" w:cs="Arial"/>
          <w:sz w:val="22"/>
          <w:lang w:val="en-US"/>
        </w:rPr>
      </w:pPr>
      <w:bookmarkStart w:id="59" w:name="_GoBack"/>
      <w:bookmarkEnd w:id="59"/>
    </w:p>
    <w:p w14:paraId="6A8905AE" w14:textId="77777777" w:rsidR="006B0471" w:rsidRPr="006B0471" w:rsidRDefault="006B0471" w:rsidP="006B0471">
      <w:pPr>
        <w:pStyle w:val="Doc-text2"/>
        <w:pBdr>
          <w:top w:val="single" w:sz="4" w:space="1" w:color="auto"/>
          <w:left w:val="single" w:sz="4" w:space="4" w:color="auto"/>
          <w:bottom w:val="single" w:sz="4" w:space="1" w:color="auto"/>
          <w:right w:val="single" w:sz="4" w:space="4" w:color="auto"/>
        </w:pBdr>
        <w:rPr>
          <w:rFonts w:cs="Arial"/>
          <w:b/>
          <w:sz w:val="24"/>
          <w:lang w:val="en-US"/>
        </w:rPr>
      </w:pPr>
      <w:r w:rsidRPr="006B0471">
        <w:rPr>
          <w:rFonts w:cs="Arial"/>
          <w:b/>
          <w:sz w:val="24"/>
        </w:rPr>
        <w:t>Agreements:</w:t>
      </w:r>
    </w:p>
    <w:p w14:paraId="25ABE04B" w14:textId="77777777" w:rsidR="006B0471" w:rsidRPr="006B0471" w:rsidRDefault="006B0471" w:rsidP="006B0471">
      <w:pPr>
        <w:pStyle w:val="Doc-text2"/>
        <w:pBdr>
          <w:top w:val="single" w:sz="4" w:space="1" w:color="auto"/>
          <w:left w:val="single" w:sz="4" w:space="4" w:color="auto"/>
          <w:bottom w:val="single" w:sz="4" w:space="1" w:color="auto"/>
          <w:right w:val="single" w:sz="4" w:space="4" w:color="auto"/>
        </w:pBdr>
        <w:rPr>
          <w:rFonts w:cs="Arial"/>
          <w:sz w:val="24"/>
        </w:rPr>
      </w:pPr>
      <w:r w:rsidRPr="006B0471">
        <w:rPr>
          <w:rFonts w:cs="Arial"/>
          <w:sz w:val="24"/>
        </w:rPr>
        <w:t>-</w:t>
      </w:r>
      <w:r w:rsidRPr="006B0471">
        <w:rPr>
          <w:rFonts w:cs="Arial"/>
          <w:sz w:val="24"/>
        </w:rPr>
        <w:tab/>
        <w:t xml:space="preserve">From RAN2 point of view it is beneficial to include LSB of SFN in the DCI.  The same design is desirable to be used for 2-step RACH.   Write LS to RAN1 to ask if there is any feasibility issues.  </w:t>
      </w:r>
    </w:p>
    <w:p w14:paraId="4DC86F4B" w14:textId="77777777" w:rsidR="006B0471" w:rsidRPr="006B0471" w:rsidRDefault="006B0471" w:rsidP="006B0471">
      <w:pPr>
        <w:pStyle w:val="Doc-text2"/>
        <w:pBdr>
          <w:top w:val="single" w:sz="4" w:space="1" w:color="auto"/>
          <w:left w:val="single" w:sz="4" w:space="4" w:color="auto"/>
          <w:bottom w:val="single" w:sz="4" w:space="1" w:color="auto"/>
          <w:right w:val="single" w:sz="4" w:space="4" w:color="auto"/>
        </w:pBdr>
        <w:rPr>
          <w:rFonts w:cs="Arial"/>
          <w:sz w:val="24"/>
        </w:rPr>
      </w:pPr>
      <w:r w:rsidRPr="006B0471">
        <w:rPr>
          <w:rFonts w:cs="Arial"/>
          <w:sz w:val="24"/>
        </w:rPr>
        <w:t>-</w:t>
      </w:r>
      <w:r w:rsidRPr="006B0471">
        <w:rPr>
          <w:rFonts w:cs="Arial"/>
          <w:sz w:val="24"/>
        </w:rPr>
        <w:tab/>
        <w:t xml:space="preserve">For NR-U, 2 bits are enough for a maximum of 40ms response windows.  </w:t>
      </w:r>
    </w:p>
    <w:p w14:paraId="1D62661E" w14:textId="77777777" w:rsidR="006B0471" w:rsidRPr="006B0471" w:rsidRDefault="006B0471" w:rsidP="006B0471">
      <w:pPr>
        <w:pStyle w:val="Doc-text2"/>
        <w:pBdr>
          <w:top w:val="single" w:sz="4" w:space="1" w:color="auto"/>
          <w:left w:val="single" w:sz="4" w:space="4" w:color="auto"/>
          <w:bottom w:val="single" w:sz="4" w:space="1" w:color="auto"/>
          <w:right w:val="single" w:sz="4" w:space="4" w:color="auto"/>
        </w:pBdr>
        <w:rPr>
          <w:rFonts w:cs="Arial"/>
          <w:sz w:val="24"/>
        </w:rPr>
      </w:pPr>
      <w:r w:rsidRPr="006B0471">
        <w:rPr>
          <w:rFonts w:cs="Arial"/>
          <w:sz w:val="24"/>
        </w:rPr>
        <w:t>-</w:t>
      </w:r>
      <w:r w:rsidRPr="006B0471">
        <w:rPr>
          <w:rFonts w:cs="Arial"/>
          <w:sz w:val="24"/>
        </w:rPr>
        <w:tab/>
        <w:t>Multiplexing of responses for more than one SFN is not allowed.</w:t>
      </w:r>
    </w:p>
    <w:p w14:paraId="62F44684" w14:textId="77777777" w:rsidR="006B0471" w:rsidRPr="006B0471" w:rsidRDefault="006B0471" w:rsidP="006B0471">
      <w:pPr>
        <w:pStyle w:val="Doc-text2"/>
        <w:rPr>
          <w:rFonts w:cs="Arial"/>
          <w:sz w:val="24"/>
        </w:rPr>
      </w:pPr>
    </w:p>
    <w:p w14:paraId="504229F1" w14:textId="6E572E96" w:rsidR="006B0471" w:rsidRPr="006B0471" w:rsidRDefault="00B54AA0" w:rsidP="006B0471">
      <w:pPr>
        <w:pStyle w:val="BodyText"/>
      </w:pPr>
      <w:r>
        <w:t xml:space="preserve">The </w:t>
      </w:r>
      <w:r w:rsidR="006B0471" w:rsidRPr="006B0471">
        <w:t xml:space="preserve">RAN2 agreement on including the 2 LSBs of SFN in DCI </w:t>
      </w:r>
      <w:proofErr w:type="gramStart"/>
      <w:r w:rsidR="006B0471" w:rsidRPr="006B0471">
        <w:t>was based on the assumption</w:t>
      </w:r>
      <w:proofErr w:type="gramEnd"/>
      <w:r w:rsidR="006B0471" w:rsidRPr="006B0471">
        <w:t xml:space="preserve"> that the reserved bits available in the DCI addressed to RA-RNTI for msg2 transmission can be used for this purpose. In addition, RAN2 assumed that the DCI for </w:t>
      </w:r>
      <w:proofErr w:type="spellStart"/>
      <w:r w:rsidR="006B0471" w:rsidRPr="006B0471">
        <w:t>msgB</w:t>
      </w:r>
      <w:proofErr w:type="spellEnd"/>
      <w:r w:rsidR="006B0471" w:rsidRPr="006B0471">
        <w:t xml:space="preserve"> scheduling in 2-step RACH can also support this and this is the desirable option per the above agreements.  </w:t>
      </w:r>
    </w:p>
    <w:p w14:paraId="154FE349" w14:textId="099630C3" w:rsidR="006B0471" w:rsidRDefault="001E31CA" w:rsidP="006B0471">
      <w:pPr>
        <w:pStyle w:val="BodyText"/>
      </w:pPr>
      <w:r>
        <w:t xml:space="preserve">Now </w:t>
      </w:r>
      <w:r w:rsidR="006B0471" w:rsidRPr="006B0471">
        <w:t xml:space="preserve">RAN2 asks RAN1 to provide feedback on the inclusion of 2 LSBs of SFN in DCI used for scheduling of msg2 in 4-step RACH and </w:t>
      </w:r>
      <w:proofErr w:type="spellStart"/>
      <w:r w:rsidR="006B0471" w:rsidRPr="006B0471">
        <w:t>msgB</w:t>
      </w:r>
      <w:proofErr w:type="spellEnd"/>
      <w:r w:rsidR="006B0471" w:rsidRPr="006B0471">
        <w:t xml:space="preserve"> in 2-step RACH on the unlicensed carrier.</w:t>
      </w:r>
    </w:p>
    <w:p w14:paraId="449298DA" w14:textId="0AFCF225" w:rsidR="00B54AA0" w:rsidRDefault="00B54AA0" w:rsidP="006B0471">
      <w:pPr>
        <w:pStyle w:val="BodyText"/>
      </w:pPr>
      <w:r>
        <w:t>Looking in §7.3.1.2</w:t>
      </w:r>
      <w:r w:rsidR="00C976B7">
        <w:t>.1</w:t>
      </w:r>
      <w:r>
        <w:t xml:space="preserve"> in 38.212</w:t>
      </w:r>
      <w:r w:rsidR="00C976B7">
        <w:t xml:space="preserve"> below, we observe that in Rel-15 there are 16 reserved bits</w:t>
      </w:r>
      <w:r w:rsidR="00DD5FB0">
        <w:t xml:space="preserve"> in DCI format 1_0 with CRC scrambled with RA-RNTI:</w:t>
      </w:r>
    </w:p>
    <w:p w14:paraId="3088D963" w14:textId="77777777" w:rsidR="00DD5FB0" w:rsidRDefault="00DD5FB0" w:rsidP="006B0471">
      <w:pPr>
        <w:pStyle w:val="BodyText"/>
      </w:pPr>
    </w:p>
    <w:tbl>
      <w:tblPr>
        <w:tblStyle w:val="TableGrid"/>
        <w:tblW w:w="0" w:type="auto"/>
        <w:tblLook w:val="04A0" w:firstRow="1" w:lastRow="0" w:firstColumn="1" w:lastColumn="0" w:noHBand="0" w:noVBand="1"/>
      </w:tblPr>
      <w:tblGrid>
        <w:gridCol w:w="9629"/>
      </w:tblGrid>
      <w:tr w:rsidR="00B54AA0" w14:paraId="04EC25C8" w14:textId="77777777" w:rsidTr="00B54AA0">
        <w:tc>
          <w:tcPr>
            <w:tcW w:w="9629" w:type="dxa"/>
          </w:tcPr>
          <w:p w14:paraId="39EB0D0D" w14:textId="77777777" w:rsidR="00B54AA0" w:rsidRPr="00B54AA0" w:rsidRDefault="00B54AA0" w:rsidP="00B54AA0">
            <w:pPr>
              <w:spacing w:after="180" w:line="240" w:lineRule="auto"/>
              <w:rPr>
                <w:rFonts w:ascii="Times New Roman" w:eastAsia="SimSun" w:hAnsi="Times New Roman" w:cs="Times New Roman"/>
                <w:sz w:val="20"/>
                <w:szCs w:val="20"/>
                <w:lang w:val="en-GB" w:eastAsia="zh-CN"/>
              </w:rPr>
            </w:pPr>
            <w:r w:rsidRPr="004863C8">
              <w:rPr>
                <w:rFonts w:ascii="Times New Roman" w:eastAsia="SimSun" w:hAnsi="Times New Roman" w:cs="Times New Roman"/>
                <w:sz w:val="20"/>
                <w:szCs w:val="20"/>
                <w:lang w:val="en-GB"/>
              </w:rPr>
              <w:t xml:space="preserve">The following information is transmitted by means of the DCI format </w:t>
            </w:r>
            <w:r w:rsidRPr="004863C8">
              <w:rPr>
                <w:rFonts w:ascii="Times New Roman" w:eastAsia="SimSun" w:hAnsi="Times New Roman" w:cs="Times New Roman"/>
                <w:sz w:val="20"/>
                <w:szCs w:val="20"/>
                <w:lang w:val="en-GB" w:eastAsia="zh-CN"/>
              </w:rPr>
              <w:t>1_0 with CRC scrambled by RA-RNTI</w:t>
            </w:r>
            <w:r w:rsidRPr="00B54AA0">
              <w:rPr>
                <w:rFonts w:ascii="Times New Roman" w:eastAsia="SimSun" w:hAnsi="Times New Roman" w:cs="Times New Roman"/>
                <w:sz w:val="20"/>
                <w:szCs w:val="20"/>
                <w:lang w:val="en-GB"/>
              </w:rPr>
              <w:t>:</w:t>
            </w:r>
          </w:p>
          <w:p w14:paraId="09608963" w14:textId="77777777" w:rsidR="00B54AA0" w:rsidRPr="00ED20EF" w:rsidRDefault="00B54AA0" w:rsidP="00B54AA0">
            <w:pPr>
              <w:spacing w:after="180" w:line="240" w:lineRule="auto"/>
              <w:ind w:left="568" w:hanging="284"/>
              <w:rPr>
                <w:rFonts w:ascii="Times New Roman" w:eastAsia="Times New Roman" w:hAnsi="Times New Roman" w:cs="Times New Roman"/>
                <w:sz w:val="20"/>
                <w:szCs w:val="20"/>
                <w:lang w:val="en-GB" w:eastAsia="zh-CN"/>
              </w:rPr>
            </w:pPr>
            <w:r w:rsidRPr="00ED20EF">
              <w:rPr>
                <w:rFonts w:ascii="Times New Roman" w:eastAsia="Times New Roman" w:hAnsi="Times New Roman" w:cs="Times New Roman"/>
                <w:sz w:val="20"/>
                <w:szCs w:val="20"/>
                <w:lang w:val="en-GB"/>
              </w:rPr>
              <w:lastRenderedPageBreak/>
              <w:t>-</w:t>
            </w:r>
            <w:r w:rsidRPr="00ED20EF">
              <w:rPr>
                <w:rFonts w:ascii="Times New Roman" w:eastAsia="Times New Roman" w:hAnsi="Times New Roman" w:cs="Times New Roman"/>
                <w:sz w:val="20"/>
                <w:szCs w:val="20"/>
                <w:lang w:val="en-GB" w:eastAsia="zh-CN"/>
              </w:rPr>
              <w:tab/>
              <w:t>Frequency domain resource assignment</w:t>
            </w:r>
            <w:r w:rsidRPr="00ED20EF">
              <w:rPr>
                <w:rFonts w:ascii="Times New Roman" w:eastAsia="Times New Roman" w:hAnsi="Times New Roman" w:cs="Times New Roman"/>
                <w:sz w:val="20"/>
                <w:szCs w:val="20"/>
                <w:lang w:val="en-GB"/>
              </w:rPr>
              <w:t xml:space="preserve"> –</w:t>
            </w:r>
            <w:r w:rsidR="00A063B6">
              <w:rPr>
                <w:rFonts w:ascii="Times New Roman" w:eastAsia="SimSun" w:hAnsi="Times New Roman" w:cs="Times New Roman"/>
                <w:position w:val="-12"/>
                <w:sz w:val="20"/>
                <w:szCs w:val="20"/>
                <w:lang w:val="en-GB"/>
              </w:rPr>
              <w:pict w14:anchorId="60BC1B68">
                <v:shape id="_x0000_i1043" type="#_x0000_t75" style="width:137pt;height:21.5pt">
                  <v:imagedata r:id="rId36" o:title=""/>
                </v:shape>
              </w:pict>
            </w:r>
            <w:r w:rsidRPr="00ED20EF">
              <w:rPr>
                <w:rFonts w:ascii="Times New Roman" w:eastAsia="Times New Roman" w:hAnsi="Times New Roman" w:cs="Times New Roman"/>
                <w:sz w:val="20"/>
                <w:szCs w:val="20"/>
                <w:lang w:val="en-GB" w:eastAsia="zh-CN"/>
              </w:rPr>
              <w:t xml:space="preserve"> bits</w:t>
            </w:r>
          </w:p>
          <w:p w14:paraId="57835063" w14:textId="77777777" w:rsidR="00B54AA0" w:rsidRPr="00ED20EF" w:rsidRDefault="00B54AA0" w:rsidP="00B54AA0">
            <w:pPr>
              <w:spacing w:after="180" w:line="240" w:lineRule="auto"/>
              <w:ind w:left="851" w:hanging="284"/>
              <w:rPr>
                <w:rFonts w:ascii="Times New Roman" w:eastAsia="Times New Roman" w:hAnsi="Times New Roman" w:cs="Times New Roman"/>
                <w:sz w:val="20"/>
                <w:szCs w:val="20"/>
                <w:lang w:val="en-GB" w:eastAsia="zh-CN"/>
              </w:rPr>
            </w:pPr>
            <w:r w:rsidRPr="00ED20EF">
              <w:rPr>
                <w:rFonts w:ascii="Times New Roman" w:eastAsia="Times New Roman" w:hAnsi="Times New Roman" w:cs="Times New Roman"/>
                <w:sz w:val="20"/>
                <w:szCs w:val="20"/>
                <w:lang w:val="en-GB" w:eastAsia="zh-CN"/>
              </w:rPr>
              <w:t>-</w:t>
            </w:r>
            <w:r w:rsidRPr="00ED20EF">
              <w:rPr>
                <w:rFonts w:ascii="Times New Roman" w:eastAsia="Times New Roman" w:hAnsi="Times New Roman" w:cs="Times New Roman"/>
                <w:sz w:val="20"/>
                <w:szCs w:val="20"/>
                <w:lang w:val="en-GB" w:eastAsia="zh-CN"/>
              </w:rPr>
              <w:tab/>
            </w:r>
            <w:r w:rsidR="00A063B6">
              <w:rPr>
                <w:rFonts w:ascii="Times New Roman" w:eastAsia="SimSun" w:hAnsi="Times New Roman" w:cs="Times New Roman"/>
                <w:position w:val="-10"/>
                <w:sz w:val="20"/>
                <w:szCs w:val="20"/>
                <w:lang w:val="en-GB"/>
              </w:rPr>
              <w:pict w14:anchorId="2162405C">
                <v:shape id="_x0000_i1044" type="#_x0000_t75" style="width:36.55pt;height:14.5pt">
                  <v:imagedata r:id="rId37" o:title=""/>
                </v:shape>
              </w:pict>
            </w:r>
            <w:r w:rsidRPr="00ED20EF">
              <w:rPr>
                <w:rFonts w:ascii="Times New Roman" w:eastAsia="Times New Roman" w:hAnsi="Times New Roman" w:cs="Times New Roman"/>
                <w:sz w:val="20"/>
                <w:szCs w:val="20"/>
                <w:lang w:val="en-GB" w:eastAsia="zh-CN"/>
              </w:rPr>
              <w:t xml:space="preserve"> is the size of CORESET 0 if CORESET 0 is configured for the cell and </w:t>
            </w:r>
            <w:r w:rsidR="00A063B6">
              <w:rPr>
                <w:rFonts w:ascii="Times New Roman" w:eastAsia="SimSun" w:hAnsi="Times New Roman" w:cs="Times New Roman"/>
                <w:position w:val="-12"/>
                <w:sz w:val="20"/>
                <w:szCs w:val="20"/>
                <w:lang w:val="en-GB"/>
              </w:rPr>
              <w:pict w14:anchorId="3B8EF4D7">
                <v:shape id="_x0000_i1045" type="#_x0000_t75" style="width:36.55pt;height:14.5pt">
                  <v:imagedata r:id="rId38" o:title=""/>
                </v:shape>
              </w:pict>
            </w:r>
            <w:r w:rsidRPr="00ED20EF">
              <w:rPr>
                <w:rFonts w:ascii="Times New Roman" w:eastAsia="Times New Roman" w:hAnsi="Times New Roman" w:cs="Times New Roman"/>
                <w:sz w:val="20"/>
                <w:szCs w:val="20"/>
                <w:lang w:val="en-GB" w:eastAsia="zh-CN"/>
              </w:rPr>
              <w:t xml:space="preserve"> is the size of initial DL bandwidth part if CORESET 0 is not configured for the cell</w:t>
            </w:r>
          </w:p>
          <w:p w14:paraId="63AFD35C" w14:textId="77777777" w:rsidR="00B54AA0" w:rsidRPr="00ED20EF" w:rsidRDefault="00B54AA0" w:rsidP="00B54AA0">
            <w:pPr>
              <w:spacing w:after="180" w:line="240" w:lineRule="auto"/>
              <w:ind w:left="568" w:hanging="284"/>
              <w:rPr>
                <w:rFonts w:ascii="Times New Roman" w:eastAsia="Times New Roman" w:hAnsi="Times New Roman" w:cs="Times New Roman"/>
                <w:sz w:val="20"/>
                <w:szCs w:val="20"/>
                <w:lang w:val="en-GB" w:eastAsia="zh-CN"/>
              </w:rPr>
            </w:pPr>
            <w:r w:rsidRPr="00ED20EF">
              <w:rPr>
                <w:rFonts w:ascii="Times New Roman" w:eastAsia="Times New Roman" w:hAnsi="Times New Roman" w:cs="Times New Roman"/>
                <w:sz w:val="20"/>
                <w:szCs w:val="20"/>
                <w:lang w:val="en-GB"/>
              </w:rPr>
              <w:t>-</w:t>
            </w:r>
            <w:r w:rsidRPr="00ED20EF">
              <w:rPr>
                <w:rFonts w:ascii="Times New Roman" w:eastAsia="Times New Roman" w:hAnsi="Times New Roman" w:cs="Times New Roman"/>
                <w:sz w:val="20"/>
                <w:szCs w:val="20"/>
                <w:lang w:val="en-GB" w:eastAsia="zh-CN"/>
              </w:rPr>
              <w:tab/>
              <w:t xml:space="preserve">Time domain resource assignment </w:t>
            </w:r>
            <w:r w:rsidRPr="00ED20EF">
              <w:rPr>
                <w:rFonts w:ascii="Times New Roman" w:eastAsia="Times New Roman" w:hAnsi="Times New Roman" w:cs="Times New Roman"/>
                <w:sz w:val="20"/>
                <w:szCs w:val="20"/>
                <w:lang w:val="en-GB"/>
              </w:rPr>
              <w:t>–</w:t>
            </w:r>
            <w:r w:rsidRPr="00ED20EF">
              <w:rPr>
                <w:rFonts w:ascii="Times New Roman" w:eastAsia="Times New Roman" w:hAnsi="Times New Roman" w:cs="Times New Roman"/>
                <w:sz w:val="20"/>
                <w:szCs w:val="20"/>
                <w:lang w:val="en-GB" w:eastAsia="zh-CN"/>
              </w:rPr>
              <w:t xml:space="preserve"> 4 bits as defined in Subclause 5.1.2.1 of [6, TS38.214]</w:t>
            </w:r>
          </w:p>
          <w:p w14:paraId="6B4C51C0" w14:textId="77777777" w:rsidR="00B54AA0" w:rsidRPr="00ED20EF" w:rsidRDefault="00B54AA0" w:rsidP="00B54AA0">
            <w:pPr>
              <w:spacing w:after="180" w:line="240" w:lineRule="auto"/>
              <w:ind w:left="568" w:hanging="284"/>
              <w:rPr>
                <w:rFonts w:ascii="Times New Roman" w:eastAsia="Times New Roman" w:hAnsi="Times New Roman" w:cs="Times New Roman"/>
                <w:sz w:val="20"/>
                <w:szCs w:val="20"/>
                <w:lang w:val="en-GB" w:eastAsia="zh-CN"/>
              </w:rPr>
            </w:pPr>
            <w:r w:rsidRPr="00ED20EF">
              <w:rPr>
                <w:rFonts w:ascii="Times New Roman" w:eastAsia="Times New Roman" w:hAnsi="Times New Roman" w:cs="Times New Roman"/>
                <w:sz w:val="20"/>
                <w:szCs w:val="20"/>
                <w:lang w:val="en-GB"/>
              </w:rPr>
              <w:t>-</w:t>
            </w:r>
            <w:r w:rsidRPr="00ED20EF">
              <w:rPr>
                <w:rFonts w:ascii="Times New Roman" w:eastAsia="Times New Roman" w:hAnsi="Times New Roman" w:cs="Times New Roman"/>
                <w:sz w:val="20"/>
                <w:szCs w:val="20"/>
                <w:lang w:val="en-GB" w:eastAsia="zh-CN"/>
              </w:rPr>
              <w:tab/>
              <w:t xml:space="preserve">VRB-to-PRB mapping </w:t>
            </w:r>
            <w:r w:rsidRPr="00ED20EF">
              <w:rPr>
                <w:rFonts w:ascii="Times New Roman" w:eastAsia="Times New Roman" w:hAnsi="Times New Roman" w:cs="Times New Roman"/>
                <w:sz w:val="20"/>
                <w:szCs w:val="20"/>
                <w:lang w:val="en-GB"/>
              </w:rPr>
              <w:t>–</w:t>
            </w:r>
            <w:r w:rsidRPr="00ED20EF">
              <w:rPr>
                <w:rFonts w:ascii="Times New Roman" w:eastAsia="Times New Roman" w:hAnsi="Times New Roman" w:cs="Times New Roman"/>
                <w:sz w:val="20"/>
                <w:szCs w:val="20"/>
                <w:lang w:val="en-GB" w:eastAsia="zh-CN"/>
              </w:rPr>
              <w:t xml:space="preserve"> 1 bit according to Table 7.3.1.1.2-33</w:t>
            </w:r>
          </w:p>
          <w:p w14:paraId="69E93114" w14:textId="77777777" w:rsidR="00B54AA0" w:rsidRPr="00ED20EF" w:rsidRDefault="00B54AA0" w:rsidP="00B54AA0">
            <w:pPr>
              <w:spacing w:after="180" w:line="240" w:lineRule="auto"/>
              <w:ind w:left="568" w:hanging="284"/>
              <w:rPr>
                <w:rFonts w:ascii="Times New Roman" w:eastAsia="Times New Roman" w:hAnsi="Times New Roman" w:cs="Times New Roman"/>
                <w:sz w:val="20"/>
                <w:szCs w:val="20"/>
                <w:lang w:val="en-GB" w:eastAsia="zh-CN"/>
              </w:rPr>
            </w:pPr>
            <w:r w:rsidRPr="00ED20EF">
              <w:rPr>
                <w:rFonts w:ascii="Times New Roman" w:eastAsia="Times New Roman" w:hAnsi="Times New Roman" w:cs="Times New Roman"/>
                <w:sz w:val="20"/>
                <w:szCs w:val="20"/>
                <w:lang w:val="en-GB"/>
              </w:rPr>
              <w:t>-</w:t>
            </w:r>
            <w:r w:rsidRPr="00ED20EF">
              <w:rPr>
                <w:rFonts w:ascii="Times New Roman" w:eastAsia="Times New Roman" w:hAnsi="Times New Roman" w:cs="Times New Roman"/>
                <w:sz w:val="20"/>
                <w:szCs w:val="20"/>
                <w:lang w:val="en-GB" w:eastAsia="zh-CN"/>
              </w:rPr>
              <w:tab/>
            </w:r>
            <w:r w:rsidRPr="00ED20EF">
              <w:rPr>
                <w:rFonts w:ascii="Times New Roman" w:eastAsia="Times New Roman" w:hAnsi="Times New Roman" w:cs="Times New Roman"/>
                <w:sz w:val="20"/>
                <w:szCs w:val="20"/>
                <w:lang w:val="en-GB"/>
              </w:rPr>
              <w:t xml:space="preserve">Modulation and coding scheme – </w:t>
            </w:r>
            <w:r w:rsidRPr="00ED20EF">
              <w:rPr>
                <w:rFonts w:ascii="Times New Roman" w:eastAsia="Times New Roman" w:hAnsi="Times New Roman" w:cs="Times New Roman"/>
                <w:sz w:val="20"/>
                <w:szCs w:val="20"/>
                <w:lang w:val="en-GB" w:eastAsia="zh-CN"/>
              </w:rPr>
              <w:t>5</w:t>
            </w:r>
            <w:r w:rsidRPr="00ED20EF">
              <w:rPr>
                <w:rFonts w:ascii="Times New Roman" w:eastAsia="Times New Roman" w:hAnsi="Times New Roman" w:cs="Times New Roman"/>
                <w:sz w:val="20"/>
                <w:szCs w:val="20"/>
                <w:lang w:val="en-GB"/>
              </w:rPr>
              <w:t xml:space="preserve"> bits as defined in Subclause </w:t>
            </w:r>
            <w:r w:rsidRPr="00ED20EF">
              <w:rPr>
                <w:rFonts w:ascii="Times New Roman" w:eastAsia="Times New Roman" w:hAnsi="Times New Roman" w:cs="Times New Roman"/>
                <w:sz w:val="20"/>
                <w:szCs w:val="20"/>
                <w:lang w:val="en-GB" w:eastAsia="zh-CN"/>
              </w:rPr>
              <w:t>5.1.3</w:t>
            </w:r>
            <w:r w:rsidRPr="00ED20EF">
              <w:rPr>
                <w:rFonts w:ascii="Times New Roman" w:eastAsia="Times New Roman" w:hAnsi="Times New Roman" w:cs="Times New Roman"/>
                <w:sz w:val="20"/>
                <w:szCs w:val="20"/>
                <w:lang w:val="en-GB"/>
              </w:rPr>
              <w:t xml:space="preserve"> of [</w:t>
            </w:r>
            <w:r w:rsidRPr="00ED20EF">
              <w:rPr>
                <w:rFonts w:ascii="Times New Roman" w:eastAsia="Times New Roman" w:hAnsi="Times New Roman" w:cs="Times New Roman"/>
                <w:sz w:val="20"/>
                <w:szCs w:val="20"/>
                <w:lang w:val="en-GB" w:eastAsia="zh-CN"/>
              </w:rPr>
              <w:t>6, TS38.214</w:t>
            </w:r>
            <w:r w:rsidRPr="00ED20EF">
              <w:rPr>
                <w:rFonts w:ascii="Times New Roman" w:eastAsia="Times New Roman" w:hAnsi="Times New Roman" w:cs="Times New Roman"/>
                <w:sz w:val="20"/>
                <w:szCs w:val="20"/>
                <w:lang w:val="en-GB"/>
              </w:rPr>
              <w:t>]</w:t>
            </w:r>
            <w:r w:rsidRPr="00ED20EF">
              <w:rPr>
                <w:rFonts w:ascii="Times New Roman" w:eastAsia="Times New Roman" w:hAnsi="Times New Roman" w:cs="Times New Roman"/>
                <w:sz w:val="20"/>
                <w:szCs w:val="20"/>
                <w:lang w:val="en-GB" w:eastAsia="zh-CN"/>
              </w:rPr>
              <w:t>, using Table 5.1.3.1-1</w:t>
            </w:r>
          </w:p>
          <w:p w14:paraId="320CAFB2" w14:textId="77777777" w:rsidR="00B54AA0" w:rsidRPr="00ED20EF" w:rsidRDefault="00B54AA0" w:rsidP="00B54AA0">
            <w:pPr>
              <w:spacing w:after="180" w:line="240" w:lineRule="auto"/>
              <w:ind w:left="568" w:hanging="284"/>
              <w:rPr>
                <w:rFonts w:ascii="Times New Roman" w:eastAsia="SimSun" w:hAnsi="Times New Roman" w:cs="Times New Roman"/>
                <w:sz w:val="20"/>
                <w:szCs w:val="20"/>
                <w:lang w:val="en-GB" w:eastAsia="zh-CN"/>
              </w:rPr>
            </w:pPr>
            <w:r w:rsidRPr="00ED20EF">
              <w:rPr>
                <w:rFonts w:ascii="Times New Roman" w:eastAsia="Times New Roman" w:hAnsi="Times New Roman" w:cs="Times New Roman"/>
                <w:sz w:val="20"/>
                <w:szCs w:val="20"/>
                <w:lang w:val="en-GB"/>
              </w:rPr>
              <w:t>-</w:t>
            </w:r>
            <w:r w:rsidRPr="00ED20EF">
              <w:rPr>
                <w:rFonts w:ascii="Times New Roman" w:eastAsia="Times New Roman" w:hAnsi="Times New Roman" w:cs="Times New Roman"/>
                <w:sz w:val="20"/>
                <w:szCs w:val="20"/>
                <w:lang w:val="en-GB" w:eastAsia="zh-CN"/>
              </w:rPr>
              <w:tab/>
              <w:t xml:space="preserve">TB scaling </w:t>
            </w:r>
            <w:r w:rsidRPr="00ED20EF">
              <w:rPr>
                <w:rFonts w:ascii="Times New Roman" w:eastAsia="Times New Roman" w:hAnsi="Times New Roman" w:cs="Times New Roman"/>
                <w:sz w:val="20"/>
                <w:szCs w:val="20"/>
                <w:lang w:val="en-GB"/>
              </w:rPr>
              <w:t xml:space="preserve">– </w:t>
            </w:r>
            <w:r w:rsidRPr="00ED20EF">
              <w:rPr>
                <w:rFonts w:ascii="Times New Roman" w:eastAsia="Times New Roman" w:hAnsi="Times New Roman" w:cs="Times New Roman"/>
                <w:sz w:val="20"/>
                <w:szCs w:val="20"/>
                <w:lang w:val="en-GB" w:eastAsia="zh-CN"/>
              </w:rPr>
              <w:t>2</w:t>
            </w:r>
            <w:r w:rsidRPr="00ED20EF">
              <w:rPr>
                <w:rFonts w:ascii="Times New Roman" w:eastAsia="Times New Roman" w:hAnsi="Times New Roman" w:cs="Times New Roman"/>
                <w:sz w:val="20"/>
                <w:szCs w:val="20"/>
                <w:lang w:val="en-GB"/>
              </w:rPr>
              <w:t xml:space="preserve"> bit</w:t>
            </w:r>
            <w:r w:rsidRPr="00ED20EF">
              <w:rPr>
                <w:rFonts w:ascii="Times New Roman" w:eastAsia="Times New Roman" w:hAnsi="Times New Roman" w:cs="Times New Roman"/>
                <w:sz w:val="20"/>
                <w:szCs w:val="20"/>
                <w:lang w:val="en-GB" w:eastAsia="zh-CN"/>
              </w:rPr>
              <w:t>s as defined in Subclause 5.1.3.2 of [6, TS38.214]</w:t>
            </w:r>
          </w:p>
          <w:p w14:paraId="2BBD1AEE" w14:textId="77777777" w:rsidR="00B54AA0" w:rsidRPr="00ED20EF" w:rsidRDefault="00B54AA0" w:rsidP="00B54AA0">
            <w:pPr>
              <w:spacing w:after="180" w:line="240" w:lineRule="auto"/>
              <w:ind w:left="568" w:hanging="284"/>
              <w:rPr>
                <w:rFonts w:ascii="Times New Roman" w:eastAsia="Times New Roman" w:hAnsi="Times New Roman" w:cs="Times New Roman"/>
                <w:sz w:val="20"/>
                <w:szCs w:val="20"/>
                <w:lang w:val="en-GB" w:eastAsia="zh-CN"/>
              </w:rPr>
            </w:pPr>
            <w:r w:rsidRPr="00ED20EF">
              <w:rPr>
                <w:rFonts w:ascii="Times New Roman" w:eastAsia="Times New Roman" w:hAnsi="Times New Roman" w:cs="Times New Roman"/>
                <w:sz w:val="20"/>
                <w:szCs w:val="20"/>
                <w:lang w:val="en-GB" w:eastAsia="zh-CN"/>
              </w:rPr>
              <w:t>-</w:t>
            </w:r>
            <w:r w:rsidRPr="00ED20EF">
              <w:rPr>
                <w:rFonts w:ascii="Times New Roman" w:eastAsia="Times New Roman" w:hAnsi="Times New Roman" w:cs="Times New Roman"/>
                <w:sz w:val="20"/>
                <w:szCs w:val="20"/>
                <w:lang w:val="en-GB" w:eastAsia="zh-CN"/>
              </w:rPr>
              <w:tab/>
              <w:t>Reserved bits – 16 bits</w:t>
            </w:r>
          </w:p>
          <w:p w14:paraId="48447292" w14:textId="77777777" w:rsidR="00B54AA0" w:rsidRDefault="00B54AA0" w:rsidP="006B0471">
            <w:pPr>
              <w:pStyle w:val="BodyText"/>
            </w:pPr>
          </w:p>
        </w:tc>
      </w:tr>
    </w:tbl>
    <w:p w14:paraId="08805DA5" w14:textId="77777777" w:rsidR="00B54AA0" w:rsidRPr="006B0471" w:rsidRDefault="00B54AA0" w:rsidP="006B0471">
      <w:pPr>
        <w:pStyle w:val="BodyText"/>
      </w:pPr>
    </w:p>
    <w:p w14:paraId="569EE8F4" w14:textId="00CD6036" w:rsidR="00CE4BE4" w:rsidRDefault="00C976B7" w:rsidP="00CE4BE4">
      <w:pPr>
        <w:pStyle w:val="BodyText"/>
      </w:pPr>
      <w:r>
        <w:t xml:space="preserve">Even after taking </w:t>
      </w:r>
      <w:r>
        <w:fldChar w:fldCharType="begin"/>
      </w:r>
      <w:r>
        <w:instrText xml:space="preserve"> REF _Ref23933571 \r \h </w:instrText>
      </w:r>
      <w:r>
        <w:fldChar w:fldCharType="separate"/>
      </w:r>
      <w:r w:rsidR="009200D5">
        <w:t>Proposal 15</w:t>
      </w:r>
      <w:r>
        <w:fldChar w:fldCharType="end"/>
      </w:r>
      <w:r>
        <w:t xml:space="preserve"> into account, there will be enough reserved bits available to accommodate RAN2’s request of adding 2 bits for signaling the LSBs of the SFN. Thus</w:t>
      </w:r>
      <w:r w:rsidR="00922889">
        <w:t>,</w:t>
      </w:r>
      <w:r>
        <w:t xml:space="preserve"> we make the following proposal</w:t>
      </w:r>
      <w:r w:rsidR="0035448B">
        <w:t>:</w:t>
      </w:r>
    </w:p>
    <w:p w14:paraId="79123645" w14:textId="64811ED5" w:rsidR="00C976B7" w:rsidRDefault="00C976B7" w:rsidP="00ED20EF">
      <w:pPr>
        <w:pStyle w:val="Proposal"/>
      </w:pPr>
      <w:bookmarkStart w:id="60" w:name="_Toc24104661"/>
      <w:r w:rsidRPr="006B0471">
        <w:t xml:space="preserve">2 LSBs of SFN </w:t>
      </w:r>
      <w:r>
        <w:t xml:space="preserve">are included in </w:t>
      </w:r>
      <w:r w:rsidR="0035448B" w:rsidRPr="003815F5">
        <w:t xml:space="preserve">DCI format 1_0 </w:t>
      </w:r>
      <w:r w:rsidR="00DD5FB0">
        <w:t xml:space="preserve">with CRC </w:t>
      </w:r>
      <w:r w:rsidR="0035448B" w:rsidRPr="003815F5">
        <w:t>scrambled with RA-RNTI carrying the DL assignments for reception of the RAR messages (Msg2)</w:t>
      </w:r>
      <w:bookmarkEnd w:id="60"/>
    </w:p>
    <w:p w14:paraId="62E76F50" w14:textId="0CED1D01" w:rsidR="00724CEB" w:rsidRDefault="00724CEB" w:rsidP="00CE4BE4">
      <w:pPr>
        <w:pStyle w:val="BodyText"/>
      </w:pPr>
      <w:r>
        <w:t xml:space="preserve">Even if the details of how </w:t>
      </w:r>
      <w:proofErr w:type="spellStart"/>
      <w:r>
        <w:t>MsgB</w:t>
      </w:r>
      <w:proofErr w:type="spellEnd"/>
      <w:r>
        <w:t xml:space="preserve"> is scheduled are not completely settled yet</w:t>
      </w:r>
      <w:r w:rsidR="00B35DBF">
        <w:t xml:space="preserve"> </w:t>
      </w:r>
      <w:r w:rsidR="00B35DBF">
        <w:fldChar w:fldCharType="begin"/>
      </w:r>
      <w:r w:rsidR="00B35DBF">
        <w:instrText xml:space="preserve"> REF _Ref24100465 \r \h </w:instrText>
      </w:r>
      <w:r w:rsidR="00B35DBF">
        <w:fldChar w:fldCharType="separate"/>
      </w:r>
      <w:r w:rsidR="009200D5">
        <w:t>[13]</w:t>
      </w:r>
      <w:r w:rsidR="00B35DBF">
        <w:fldChar w:fldCharType="end"/>
      </w:r>
      <w:r>
        <w:t xml:space="preserve">, we expect </w:t>
      </w:r>
      <w:r w:rsidR="00B35DBF">
        <w:t xml:space="preserve">that there will be bits available and thus </w:t>
      </w:r>
      <w:r>
        <w:t xml:space="preserve">the same approach </w:t>
      </w:r>
      <w:r w:rsidR="00B35DBF">
        <w:t xml:space="preserve">can be used for </w:t>
      </w:r>
      <w:proofErr w:type="spellStart"/>
      <w:r w:rsidR="00B35DBF">
        <w:t>MsgB</w:t>
      </w:r>
      <w:proofErr w:type="spellEnd"/>
      <w:r w:rsidR="00B35DBF">
        <w:t xml:space="preserve"> </w:t>
      </w:r>
      <w:r>
        <w:t>as for Msg2</w:t>
      </w:r>
      <w:r w:rsidR="00B35DBF">
        <w:t>.</w:t>
      </w:r>
    </w:p>
    <w:p w14:paraId="1D3B35EF" w14:textId="6FB30FDE" w:rsidR="0035448B" w:rsidRDefault="00B35DBF" w:rsidP="00ED20EF">
      <w:pPr>
        <w:pStyle w:val="Observation"/>
      </w:pPr>
      <w:bookmarkStart w:id="61" w:name="_Toc24104676"/>
      <w:r>
        <w:t xml:space="preserve">Even if all details of how to schedule </w:t>
      </w:r>
      <w:proofErr w:type="spellStart"/>
      <w:r>
        <w:t>MsgB</w:t>
      </w:r>
      <w:proofErr w:type="spellEnd"/>
      <w:r>
        <w:t xml:space="preserve"> are not completely settled yet, w</w:t>
      </w:r>
      <w:r w:rsidR="00724CEB">
        <w:t xml:space="preserve">e expect that the same approach as for Msg2 can be used for </w:t>
      </w:r>
      <w:proofErr w:type="spellStart"/>
      <w:r w:rsidR="00724CEB">
        <w:t>MsgB</w:t>
      </w:r>
      <w:proofErr w:type="spellEnd"/>
      <w:r>
        <w:t>.</w:t>
      </w:r>
      <w:bookmarkEnd w:id="61"/>
    </w:p>
    <w:p w14:paraId="4CEE06AF" w14:textId="62835412" w:rsidR="00B35DBF" w:rsidRPr="00321409" w:rsidRDefault="00B35DBF" w:rsidP="00CE4BE4">
      <w:pPr>
        <w:pStyle w:val="BodyText"/>
      </w:pPr>
      <w:r>
        <w:t xml:space="preserve"> </w:t>
      </w:r>
    </w:p>
    <w:p w14:paraId="637D11C0" w14:textId="4374A139" w:rsidR="006B0471" w:rsidRDefault="00DD5FB0" w:rsidP="007725E8">
      <w:pPr>
        <w:pStyle w:val="Heading1"/>
        <w:rPr>
          <w:lang w:val="en-US"/>
        </w:rPr>
      </w:pPr>
      <w:r>
        <w:rPr>
          <w:lang w:val="en-US"/>
        </w:rPr>
        <w:t>6</w:t>
      </w:r>
      <w:r w:rsidR="00F3579A" w:rsidRPr="00321409">
        <w:rPr>
          <w:lang w:val="en-US"/>
        </w:rPr>
        <w:tab/>
        <w:t>RRM and RLM</w:t>
      </w:r>
    </w:p>
    <w:p w14:paraId="501EE9BC" w14:textId="6C59DEFF" w:rsidR="006B0471" w:rsidRPr="00321409" w:rsidRDefault="00DD5FB0" w:rsidP="006B0471">
      <w:pPr>
        <w:pStyle w:val="Heading2"/>
      </w:pPr>
      <w:r>
        <w:t>6</w:t>
      </w:r>
      <w:r w:rsidR="006B0471" w:rsidRPr="00321409">
        <w:t>.</w:t>
      </w:r>
      <w:r w:rsidR="006B0471">
        <w:t>1</w:t>
      </w:r>
      <w:r w:rsidR="006B0471" w:rsidRPr="00321409">
        <w:tab/>
      </w:r>
      <w:r w:rsidR="006B0471">
        <w:t xml:space="preserve">Potential Modifications to the </w:t>
      </w:r>
      <w:r w:rsidR="006B0471" w:rsidRPr="00321409">
        <w:t>Rel-15 SMTC</w:t>
      </w:r>
    </w:p>
    <w:p w14:paraId="4CF9BC38" w14:textId="77777777" w:rsidR="006B0471" w:rsidRDefault="006B0471" w:rsidP="006B0471">
      <w:pPr>
        <w:pStyle w:val="BodyText"/>
      </w:pPr>
      <w:r>
        <w:t xml:space="preserve">One remaining </w:t>
      </w:r>
      <w:r w:rsidRPr="001C585A">
        <w:t xml:space="preserve">open item </w:t>
      </w:r>
      <w:r>
        <w:t xml:space="preserve">in the RRM area </w:t>
      </w:r>
      <w:r w:rsidRPr="001C585A">
        <w:t xml:space="preserve">relates </w:t>
      </w:r>
      <w:r>
        <w:t>if any modifications of</w:t>
      </w:r>
      <w:r w:rsidRPr="001C585A">
        <w:t xml:space="preserve"> the Rel-15 NR SMTC window</w:t>
      </w:r>
      <w:r>
        <w:t xml:space="preserve"> are needed:</w:t>
      </w:r>
    </w:p>
    <w:p w14:paraId="23B691E7" w14:textId="77777777" w:rsidR="006B0471" w:rsidRPr="001C585A" w:rsidRDefault="006B0471" w:rsidP="006B0471">
      <w:pPr>
        <w:numPr>
          <w:ilvl w:val="1"/>
          <w:numId w:val="15"/>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Any modification of the parameters of the Rel-15 SMTC for operation in unlicensed spectrum</w:t>
      </w:r>
    </w:p>
    <w:p w14:paraId="2E08116D" w14:textId="77777777" w:rsidR="006B0471" w:rsidRDefault="006B0471" w:rsidP="006B0471">
      <w:pPr>
        <w:pStyle w:val="BodyText"/>
      </w:pPr>
    </w:p>
    <w:p w14:paraId="06915985" w14:textId="77777777" w:rsidR="006B0471" w:rsidRPr="001C585A" w:rsidRDefault="006B0471" w:rsidP="006B0471">
      <w:pPr>
        <w:pStyle w:val="BodyText"/>
      </w:pPr>
      <w:r w:rsidRPr="001C585A">
        <w:t>In NR-Rel-15, an SMTC window for the purposes of RRM measurements is configured through the following SSB-MTC Information Element:</w:t>
      </w:r>
    </w:p>
    <w:p w14:paraId="1123EB68" w14:textId="77777777" w:rsidR="006B0471" w:rsidRPr="00321409" w:rsidRDefault="006B0471" w:rsidP="006B0471">
      <w:pPr>
        <w:pStyle w:val="PL"/>
        <w:rPr>
          <w:lang w:val="en-US"/>
        </w:rPr>
      </w:pPr>
      <w:r w:rsidRPr="00321409">
        <w:rPr>
          <w:lang w:val="en-US"/>
        </w:rPr>
        <w:t xml:space="preserve">SSB-MTC ::=                             </w:t>
      </w:r>
      <w:r w:rsidRPr="00321409">
        <w:rPr>
          <w:color w:val="993366"/>
          <w:lang w:val="en-US"/>
        </w:rPr>
        <w:t>SEQUENCE</w:t>
      </w:r>
      <w:r w:rsidRPr="00321409">
        <w:rPr>
          <w:lang w:val="en-US"/>
        </w:rPr>
        <w:t xml:space="preserve"> {</w:t>
      </w:r>
    </w:p>
    <w:p w14:paraId="2A0AAF14" w14:textId="77777777" w:rsidR="006B0471" w:rsidRPr="00321409" w:rsidRDefault="006B0471" w:rsidP="006B0471">
      <w:pPr>
        <w:pStyle w:val="PL"/>
        <w:rPr>
          <w:lang w:val="en-US"/>
        </w:rPr>
      </w:pPr>
      <w:r w:rsidRPr="00321409">
        <w:rPr>
          <w:lang w:val="en-US"/>
        </w:rPr>
        <w:t xml:space="preserve">    periodicityAndOffset                    </w:t>
      </w:r>
      <w:r w:rsidRPr="00321409">
        <w:rPr>
          <w:color w:val="993366"/>
          <w:lang w:val="en-US"/>
        </w:rPr>
        <w:t>CHOICE</w:t>
      </w:r>
      <w:r w:rsidRPr="00321409">
        <w:rPr>
          <w:lang w:val="en-US"/>
        </w:rPr>
        <w:t xml:space="preserve"> {</w:t>
      </w:r>
    </w:p>
    <w:p w14:paraId="76EB51E0" w14:textId="77777777" w:rsidR="006B0471" w:rsidRPr="00F941CB" w:rsidRDefault="006B0471" w:rsidP="006B0471">
      <w:pPr>
        <w:pStyle w:val="PL"/>
        <w:rPr>
          <w:lang w:val="sv-SE"/>
        </w:rPr>
      </w:pPr>
      <w:r w:rsidRPr="00321409">
        <w:rPr>
          <w:lang w:val="en-US"/>
        </w:rPr>
        <w:t xml:space="preserve">        </w:t>
      </w:r>
      <w:r w:rsidRPr="00BE017E">
        <w:rPr>
          <w:lang w:val="sv-SE"/>
        </w:rPr>
        <w:t xml:space="preserve">sf5                                 </w:t>
      </w:r>
      <w:r w:rsidRPr="00F941CB">
        <w:rPr>
          <w:color w:val="993366"/>
          <w:lang w:val="sv-SE"/>
        </w:rPr>
        <w:t>INTEGER</w:t>
      </w:r>
      <w:r w:rsidRPr="00F941CB">
        <w:rPr>
          <w:lang w:val="sv-SE"/>
        </w:rPr>
        <w:t xml:space="preserve"> (0..4),</w:t>
      </w:r>
    </w:p>
    <w:p w14:paraId="3CB106BF" w14:textId="77777777" w:rsidR="006B0471" w:rsidRPr="00F941CB" w:rsidRDefault="006B0471" w:rsidP="006B0471">
      <w:pPr>
        <w:pStyle w:val="PL"/>
        <w:rPr>
          <w:lang w:val="sv-SE"/>
        </w:rPr>
      </w:pPr>
      <w:r w:rsidRPr="00F941CB">
        <w:rPr>
          <w:lang w:val="sv-SE"/>
        </w:rPr>
        <w:t xml:space="preserve">        sf10                                    </w:t>
      </w:r>
      <w:r w:rsidRPr="00F941CB">
        <w:rPr>
          <w:color w:val="993366"/>
          <w:lang w:val="sv-SE"/>
        </w:rPr>
        <w:t>INTEGER</w:t>
      </w:r>
      <w:r w:rsidRPr="00F941CB">
        <w:rPr>
          <w:lang w:val="sv-SE"/>
        </w:rPr>
        <w:t xml:space="preserve"> (0..9),</w:t>
      </w:r>
    </w:p>
    <w:p w14:paraId="6E5C9757" w14:textId="77777777" w:rsidR="006B0471" w:rsidRPr="00F941CB" w:rsidRDefault="006B0471" w:rsidP="006B0471">
      <w:pPr>
        <w:pStyle w:val="PL"/>
        <w:rPr>
          <w:lang w:val="sv-SE"/>
        </w:rPr>
      </w:pPr>
      <w:r w:rsidRPr="00F941CB">
        <w:rPr>
          <w:lang w:val="sv-SE"/>
        </w:rPr>
        <w:t xml:space="preserve">        sf20                                    </w:t>
      </w:r>
      <w:r w:rsidRPr="00F941CB">
        <w:rPr>
          <w:color w:val="993366"/>
          <w:lang w:val="sv-SE"/>
        </w:rPr>
        <w:t>INTEGER</w:t>
      </w:r>
      <w:r w:rsidRPr="00F941CB">
        <w:rPr>
          <w:lang w:val="sv-SE"/>
        </w:rPr>
        <w:t xml:space="preserve"> (0..19),</w:t>
      </w:r>
    </w:p>
    <w:p w14:paraId="7126C928" w14:textId="77777777" w:rsidR="006B0471" w:rsidRPr="00F941CB" w:rsidRDefault="006B0471" w:rsidP="006B0471">
      <w:pPr>
        <w:pStyle w:val="PL"/>
        <w:rPr>
          <w:lang w:val="sv-SE"/>
        </w:rPr>
      </w:pPr>
      <w:r w:rsidRPr="00F941CB">
        <w:rPr>
          <w:lang w:val="sv-SE"/>
        </w:rPr>
        <w:t xml:space="preserve">        sf40                                    </w:t>
      </w:r>
      <w:r w:rsidRPr="00F941CB">
        <w:rPr>
          <w:color w:val="993366"/>
          <w:lang w:val="sv-SE"/>
        </w:rPr>
        <w:t>INTEGER</w:t>
      </w:r>
      <w:r w:rsidRPr="00F941CB">
        <w:rPr>
          <w:lang w:val="sv-SE"/>
        </w:rPr>
        <w:t xml:space="preserve"> (0..39),</w:t>
      </w:r>
    </w:p>
    <w:p w14:paraId="77FFFABD" w14:textId="77777777" w:rsidR="006B0471" w:rsidRPr="00F941CB" w:rsidRDefault="006B0471" w:rsidP="006B0471">
      <w:pPr>
        <w:pStyle w:val="PL"/>
        <w:rPr>
          <w:lang w:val="sv-SE"/>
        </w:rPr>
      </w:pPr>
      <w:r w:rsidRPr="00F941CB">
        <w:rPr>
          <w:lang w:val="sv-SE"/>
        </w:rPr>
        <w:t xml:space="preserve">        sf80                                    </w:t>
      </w:r>
      <w:r w:rsidRPr="00F941CB">
        <w:rPr>
          <w:color w:val="993366"/>
          <w:lang w:val="sv-SE"/>
        </w:rPr>
        <w:t>INTEGER</w:t>
      </w:r>
      <w:r w:rsidRPr="00F941CB">
        <w:rPr>
          <w:lang w:val="sv-SE"/>
        </w:rPr>
        <w:t xml:space="preserve"> (0..79),</w:t>
      </w:r>
    </w:p>
    <w:p w14:paraId="32432490" w14:textId="77777777" w:rsidR="006B0471" w:rsidRPr="00F941CB" w:rsidRDefault="006B0471" w:rsidP="006B0471">
      <w:pPr>
        <w:pStyle w:val="PL"/>
        <w:rPr>
          <w:lang w:val="sv-SE"/>
        </w:rPr>
      </w:pPr>
      <w:r w:rsidRPr="00F941CB">
        <w:rPr>
          <w:lang w:val="sv-SE"/>
        </w:rPr>
        <w:t xml:space="preserve">        sf160                               </w:t>
      </w:r>
      <w:r w:rsidRPr="00F941CB">
        <w:rPr>
          <w:color w:val="993366"/>
          <w:lang w:val="sv-SE"/>
        </w:rPr>
        <w:t>INTEGER</w:t>
      </w:r>
      <w:r w:rsidRPr="00F941CB">
        <w:rPr>
          <w:lang w:val="sv-SE"/>
        </w:rPr>
        <w:t xml:space="preserve"> (0..159)</w:t>
      </w:r>
    </w:p>
    <w:p w14:paraId="54DE848C" w14:textId="77777777" w:rsidR="006B0471" w:rsidRPr="00321409" w:rsidRDefault="006B0471" w:rsidP="006B0471">
      <w:pPr>
        <w:pStyle w:val="PL"/>
        <w:rPr>
          <w:lang w:val="en-US"/>
        </w:rPr>
      </w:pPr>
      <w:r w:rsidRPr="00F941CB">
        <w:rPr>
          <w:lang w:val="sv-SE"/>
        </w:rPr>
        <w:t xml:space="preserve">    </w:t>
      </w:r>
      <w:r w:rsidRPr="00321409">
        <w:rPr>
          <w:lang w:val="en-US"/>
        </w:rPr>
        <w:t>},</w:t>
      </w:r>
    </w:p>
    <w:p w14:paraId="778FDFB3" w14:textId="77777777" w:rsidR="006B0471" w:rsidRPr="00321409" w:rsidRDefault="006B0471" w:rsidP="006B0471">
      <w:pPr>
        <w:pStyle w:val="PL"/>
        <w:rPr>
          <w:lang w:val="en-US"/>
        </w:rPr>
      </w:pPr>
      <w:r w:rsidRPr="00321409">
        <w:rPr>
          <w:lang w:val="en-US"/>
        </w:rPr>
        <w:t xml:space="preserve">    duration                                </w:t>
      </w:r>
      <w:r w:rsidRPr="00321409">
        <w:rPr>
          <w:color w:val="993366"/>
          <w:lang w:val="en-US"/>
        </w:rPr>
        <w:t>ENUMERATED</w:t>
      </w:r>
      <w:r w:rsidRPr="00321409">
        <w:rPr>
          <w:lang w:val="en-US"/>
        </w:rPr>
        <w:t xml:space="preserve"> { sf1, sf2, sf3, sf4, sf5 }</w:t>
      </w:r>
    </w:p>
    <w:p w14:paraId="6585C4FF" w14:textId="77777777" w:rsidR="006B0471" w:rsidRPr="00321409" w:rsidRDefault="006B0471" w:rsidP="006B0471">
      <w:pPr>
        <w:pStyle w:val="PL"/>
        <w:rPr>
          <w:lang w:val="en-US"/>
        </w:rPr>
      </w:pPr>
      <w:r w:rsidRPr="00321409">
        <w:rPr>
          <w:lang w:val="en-US"/>
        </w:rPr>
        <w:t>}</w:t>
      </w:r>
    </w:p>
    <w:p w14:paraId="57E344ED" w14:textId="77777777" w:rsidR="006B0471" w:rsidRPr="00321409" w:rsidRDefault="006B0471" w:rsidP="006B0471">
      <w:pPr>
        <w:pStyle w:val="BodyText"/>
      </w:pPr>
      <w:r w:rsidRPr="00321409">
        <w:t xml:space="preserve">Evidently, the periodicity and offset are configurable with periodicities ranging from 5 ms to 160 ms, and the duration field is configurable in a range of 1 ms to 5 ms. </w:t>
      </w:r>
    </w:p>
    <w:p w14:paraId="44D80D37" w14:textId="22FCA220" w:rsidR="006B0471" w:rsidRPr="00321409" w:rsidRDefault="006B0471" w:rsidP="006B0471">
      <w:pPr>
        <w:pStyle w:val="BodyText"/>
      </w:pPr>
      <w:r w:rsidRPr="00321409">
        <w:lastRenderedPageBreak/>
        <w:t xml:space="preserve">In RAN1#96b it was agreed that the DRS transmission window is 5 ms. Given that, and that the SSB-MTC Information Element is already available, we think it is best to reuse it “as-is” for RRM measurements based on SS/PBCH. Adding a new information element would affect </w:t>
      </w:r>
      <w:proofErr w:type="gramStart"/>
      <w:r w:rsidRPr="00321409">
        <w:t>a number of</w:t>
      </w:r>
      <w:proofErr w:type="gramEnd"/>
      <w:r w:rsidRPr="00321409">
        <w:t xml:space="preserve"> other IEs such as e.g. </w:t>
      </w:r>
      <w:r w:rsidRPr="001C585A">
        <w:rPr>
          <w:i/>
        </w:rPr>
        <w:t xml:space="preserve">intraFreqCellReselectionInfo, InterFreqCarrierFreqInfo </w:t>
      </w:r>
      <w:r w:rsidRPr="001C585A">
        <w:t xml:space="preserve">and </w:t>
      </w:r>
      <w:r w:rsidRPr="001C585A">
        <w:rPr>
          <w:i/>
        </w:rPr>
        <w:t>MeasObjectNR</w:t>
      </w:r>
      <w:r w:rsidRPr="001C585A">
        <w:t xml:space="preserve">. </w:t>
      </w:r>
      <w:r w:rsidR="00DD5FB0">
        <w:t xml:space="preserve">In addition, it would affect the gap configurations in RAN4. </w:t>
      </w:r>
      <w:r w:rsidRPr="00321409">
        <w:t>Thus, we make the following proposal:</w:t>
      </w:r>
    </w:p>
    <w:p w14:paraId="3E698531" w14:textId="6C7E44E9" w:rsidR="00F3579A" w:rsidRPr="006B0471" w:rsidRDefault="006B0471" w:rsidP="00ED20EF">
      <w:pPr>
        <w:pStyle w:val="Proposal"/>
      </w:pPr>
      <w:bookmarkStart w:id="62" w:name="_Toc24104662"/>
      <w:r w:rsidRPr="00321409">
        <w:t>The Rel-15 SMTC window can be used “as is,” for configuring RRM measurement windows even when the SS/PBCH blocks shift in time due to LBT failures.</w:t>
      </w:r>
      <w:bookmarkEnd w:id="62"/>
    </w:p>
    <w:p w14:paraId="71277B5E" w14:textId="4ECCCDED" w:rsidR="00F3579A" w:rsidRPr="00321409" w:rsidRDefault="00DD5FB0" w:rsidP="007725E8">
      <w:pPr>
        <w:pStyle w:val="Heading2"/>
        <w:rPr>
          <w:lang w:val="en-US"/>
        </w:rPr>
      </w:pPr>
      <w:r>
        <w:rPr>
          <w:lang w:val="en-US"/>
        </w:rPr>
        <w:t>6</w:t>
      </w:r>
      <w:r w:rsidR="00F3579A" w:rsidRPr="00321409">
        <w:rPr>
          <w:lang w:val="en-US"/>
        </w:rPr>
        <w:t>.</w:t>
      </w:r>
      <w:r w:rsidR="006B0471">
        <w:rPr>
          <w:lang w:val="en-US"/>
        </w:rPr>
        <w:t>2</w:t>
      </w:r>
      <w:r w:rsidR="00F3579A" w:rsidRPr="00321409">
        <w:rPr>
          <w:lang w:val="en-US"/>
        </w:rPr>
        <w:tab/>
      </w:r>
      <w:r w:rsidR="00AF6742" w:rsidRPr="00321409">
        <w:rPr>
          <w:lang w:val="en-US"/>
        </w:rPr>
        <w:t xml:space="preserve">RSSI </w:t>
      </w:r>
      <w:r w:rsidR="008014DE" w:rsidRPr="00321409">
        <w:rPr>
          <w:lang w:val="en-US"/>
        </w:rPr>
        <w:t xml:space="preserve">and Channel Occupancy </w:t>
      </w:r>
      <w:r w:rsidR="00F3579A" w:rsidRPr="00321409">
        <w:rPr>
          <w:lang w:val="en-US"/>
        </w:rPr>
        <w:t>reporting</w:t>
      </w:r>
    </w:p>
    <w:p w14:paraId="18595A9A" w14:textId="25B5ADC7" w:rsidR="001001EA" w:rsidRDefault="001001EA">
      <w:pPr>
        <w:pStyle w:val="BodyText"/>
      </w:pPr>
      <w:r>
        <w:t>In RAN1</w:t>
      </w:r>
      <w:r w:rsidR="00A6586B">
        <w:t>#98b it the following was agreed with respect to the RSSI measurement timing configuration:</w:t>
      </w:r>
    </w:p>
    <w:p w14:paraId="71CA425B" w14:textId="77777777" w:rsidR="00A6586B" w:rsidRPr="00A6586B" w:rsidRDefault="00A6586B" w:rsidP="00A6586B">
      <w:pPr>
        <w:spacing w:after="0" w:line="276" w:lineRule="auto"/>
        <w:contextualSpacing/>
        <w:jc w:val="both"/>
        <w:rPr>
          <w:rFonts w:ascii="Times" w:eastAsia="Batang" w:hAnsi="Times" w:cs="Times New Roman"/>
          <w:sz w:val="20"/>
          <w:szCs w:val="24"/>
          <w:lang w:val="en-GB" w:eastAsia="x-none"/>
        </w:rPr>
      </w:pPr>
      <w:r w:rsidRPr="00A6586B">
        <w:rPr>
          <w:rFonts w:ascii="Times" w:eastAsia="Batang" w:hAnsi="Times" w:cs="Times New Roman"/>
          <w:sz w:val="20"/>
          <w:szCs w:val="24"/>
          <w:highlight w:val="green"/>
          <w:lang w:val="en-GB" w:eastAsia="x-none"/>
        </w:rPr>
        <w:t>Agreement:</w:t>
      </w:r>
    </w:p>
    <w:p w14:paraId="7760952A" w14:textId="77777777" w:rsidR="00A6586B" w:rsidRPr="00A6586B" w:rsidRDefault="00A6586B" w:rsidP="00A6586B">
      <w:pPr>
        <w:numPr>
          <w:ilvl w:val="0"/>
          <w:numId w:val="43"/>
        </w:numPr>
        <w:spacing w:after="0" w:line="240" w:lineRule="auto"/>
        <w:ind w:left="36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The RSSI measurement timing configuration (RMTC) includes the following:</w:t>
      </w:r>
    </w:p>
    <w:p w14:paraId="4F47730E" w14:textId="77777777" w:rsidR="00A6586B" w:rsidRPr="00A6586B" w:rsidRDefault="00A6586B" w:rsidP="00A6586B">
      <w:pPr>
        <w:numPr>
          <w:ilvl w:val="0"/>
          <w:numId w:val="44"/>
        </w:numPr>
        <w:spacing w:after="0" w:line="240" w:lineRule="auto"/>
        <w:ind w:left="72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 xml:space="preserve">Time-domain parameters: </w:t>
      </w:r>
    </w:p>
    <w:p w14:paraId="0315B13D" w14:textId="77777777" w:rsidR="00A6586B" w:rsidRPr="00A6586B" w:rsidRDefault="00A6586B" w:rsidP="00A6586B">
      <w:pPr>
        <w:numPr>
          <w:ilvl w:val="0"/>
          <w:numId w:val="43"/>
        </w:numPr>
        <w:spacing w:after="0" w:line="240" w:lineRule="auto"/>
        <w:ind w:left="108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 xml:space="preserve">Periodicity (e.g., 40/80/160/320/640 ms) </w:t>
      </w:r>
    </w:p>
    <w:p w14:paraId="723D19C5" w14:textId="77777777" w:rsidR="00A6586B" w:rsidRPr="00A6586B" w:rsidRDefault="00A6586B" w:rsidP="00A6586B">
      <w:pPr>
        <w:numPr>
          <w:ilvl w:val="0"/>
          <w:numId w:val="43"/>
        </w:numPr>
        <w:spacing w:after="0" w:line="240" w:lineRule="auto"/>
        <w:ind w:left="108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Measurement duration in terms of OFDM symbols with a configured reference subcarrier spacing</w:t>
      </w:r>
    </w:p>
    <w:p w14:paraId="2D1285A5" w14:textId="77777777" w:rsidR="00A6586B" w:rsidRPr="00A6586B" w:rsidRDefault="00A6586B" w:rsidP="00A6586B">
      <w:pPr>
        <w:numPr>
          <w:ilvl w:val="0"/>
          <w:numId w:val="43"/>
        </w:numPr>
        <w:spacing w:after="0" w:line="240" w:lineRule="auto"/>
        <w:ind w:left="108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Offset of RMTC measurement duration</w:t>
      </w:r>
    </w:p>
    <w:p w14:paraId="3A9DC4B6" w14:textId="77777777" w:rsidR="00A6586B" w:rsidRPr="00A6586B" w:rsidRDefault="00A6586B" w:rsidP="00A6586B">
      <w:pPr>
        <w:numPr>
          <w:ilvl w:val="0"/>
          <w:numId w:val="44"/>
        </w:numPr>
        <w:spacing w:after="0" w:line="240" w:lineRule="auto"/>
        <w:ind w:left="72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Frequency-domain parameters:</w:t>
      </w:r>
    </w:p>
    <w:p w14:paraId="519055AE" w14:textId="77777777" w:rsidR="00A6586B" w:rsidRPr="00A6586B" w:rsidRDefault="00A6586B" w:rsidP="00A6586B">
      <w:pPr>
        <w:numPr>
          <w:ilvl w:val="0"/>
          <w:numId w:val="43"/>
        </w:numPr>
        <w:spacing w:after="0" w:line="240" w:lineRule="auto"/>
        <w:ind w:left="108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Measurement bandwidth at least in units of LBT bandwidths</w:t>
      </w:r>
    </w:p>
    <w:p w14:paraId="2933CCB4" w14:textId="77777777" w:rsidR="00A6586B" w:rsidRPr="00A6586B" w:rsidRDefault="00A6586B" w:rsidP="00A6586B">
      <w:pPr>
        <w:numPr>
          <w:ilvl w:val="1"/>
          <w:numId w:val="43"/>
        </w:numPr>
        <w:spacing w:after="0" w:line="240" w:lineRule="auto"/>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FFS: Units other than LBT bandwidths</w:t>
      </w:r>
    </w:p>
    <w:p w14:paraId="4340DCB9" w14:textId="77777777" w:rsidR="00A6586B" w:rsidRPr="00A6586B" w:rsidRDefault="00A6586B" w:rsidP="00A6586B">
      <w:pPr>
        <w:numPr>
          <w:ilvl w:val="1"/>
          <w:numId w:val="43"/>
        </w:numPr>
        <w:spacing w:after="0" w:line="240" w:lineRule="auto"/>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 xml:space="preserve">Note: RAN4 can determine if the bandwidth used for the measurement within an LBT bandwidth can be less than the signaled measurement bandwidth. </w:t>
      </w:r>
    </w:p>
    <w:p w14:paraId="2A607C0D" w14:textId="77777777" w:rsidR="00A6586B" w:rsidRPr="00A6586B" w:rsidRDefault="00A6586B" w:rsidP="00A6586B">
      <w:pPr>
        <w:numPr>
          <w:ilvl w:val="0"/>
          <w:numId w:val="43"/>
        </w:numPr>
        <w:spacing w:after="0" w:line="240" w:lineRule="auto"/>
        <w:ind w:left="108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Measurement ARFCN for inter-frequency measurements</w:t>
      </w:r>
    </w:p>
    <w:p w14:paraId="5283C634" w14:textId="77777777" w:rsidR="00A6586B" w:rsidRPr="00A6586B" w:rsidRDefault="00A6586B" w:rsidP="00A6586B">
      <w:pPr>
        <w:numPr>
          <w:ilvl w:val="0"/>
          <w:numId w:val="43"/>
        </w:numPr>
        <w:spacing w:after="0" w:line="240" w:lineRule="auto"/>
        <w:ind w:left="360"/>
        <w:contextualSpacing/>
        <w:rPr>
          <w:rFonts w:ascii="Times" w:eastAsia="Batang" w:hAnsi="Times" w:cs="Times New Roman"/>
          <w:sz w:val="20"/>
          <w:szCs w:val="24"/>
          <w:lang w:eastAsia="x-none"/>
        </w:rPr>
      </w:pPr>
      <w:r w:rsidRPr="00A6586B">
        <w:rPr>
          <w:rFonts w:ascii="Times" w:eastAsia="Batang" w:hAnsi="Times" w:cs="Times New Roman"/>
          <w:sz w:val="20"/>
          <w:szCs w:val="24"/>
          <w:lang w:eastAsia="x-none"/>
        </w:rPr>
        <w:t>Configurable L3 filtering as in RSSI for LTE-LAA</w:t>
      </w:r>
    </w:p>
    <w:p w14:paraId="54E33F87" w14:textId="77777777" w:rsidR="00A6586B" w:rsidRDefault="00A6586B">
      <w:pPr>
        <w:pStyle w:val="BodyText"/>
      </w:pPr>
    </w:p>
    <w:p w14:paraId="02C38EEB" w14:textId="77777777" w:rsidR="006B6D82" w:rsidRDefault="006B6D82">
      <w:pPr>
        <w:pStyle w:val="BodyText"/>
      </w:pPr>
    </w:p>
    <w:p w14:paraId="11E29467" w14:textId="0379C998" w:rsidR="00081DE7" w:rsidRDefault="00A6586B">
      <w:pPr>
        <w:pStyle w:val="BodyText"/>
      </w:pPr>
      <w:r>
        <w:t xml:space="preserve">One thing that needs further clarification is the relation between the </w:t>
      </w:r>
      <w:r w:rsidR="00081DE7">
        <w:t>configured</w:t>
      </w:r>
      <w:r>
        <w:t xml:space="preserve"> ARFCN and the </w:t>
      </w:r>
      <w:r w:rsidR="00081DE7">
        <w:t xml:space="preserve">configured </w:t>
      </w:r>
      <w:r>
        <w:t xml:space="preserve">measurement bandwidth, especially so, for intra-frequency measurements where the ARFCN is not provided according to the above agreement. This is especially important when the active bandwidth part is wider than the LBT </w:t>
      </w:r>
      <w:r w:rsidR="00081DE7">
        <w:t>bandwidth. To clarify this, we propose to extend the above agreement as follows</w:t>
      </w:r>
    </w:p>
    <w:p w14:paraId="78AABC25" w14:textId="1D9A45CC" w:rsidR="00A6586B" w:rsidRDefault="00081DE7" w:rsidP="00ED20EF">
      <w:pPr>
        <w:pStyle w:val="Proposal"/>
      </w:pPr>
      <w:bookmarkStart w:id="63" w:name="_Toc24104663"/>
      <w:r>
        <w:t xml:space="preserve">Measurement ARFCN is provided also for intra-frequency measurements and the provided ARFCN (for both intra- and inter-frequency) </w:t>
      </w:r>
      <w:proofErr w:type="gramStart"/>
      <w:r>
        <w:t>is located in</w:t>
      </w:r>
      <w:proofErr w:type="gramEnd"/>
      <w:r>
        <w:t xml:space="preserve"> the middle of the measurement bandwidth.</w:t>
      </w:r>
      <w:bookmarkEnd w:id="63"/>
      <w:r>
        <w:t xml:space="preserve"> </w:t>
      </w:r>
    </w:p>
    <w:p w14:paraId="63E88353" w14:textId="37B9D93F" w:rsidR="00184C87" w:rsidRDefault="00184C87" w:rsidP="00965579">
      <w:pPr>
        <w:pStyle w:val="BodyText"/>
      </w:pPr>
      <w:r>
        <w:t>The above agreement as has an FSS on “units other than LBT bandwidths”. In our view</w:t>
      </w:r>
      <w:r w:rsidR="00570ED0">
        <w:t>,</w:t>
      </w:r>
      <w:r>
        <w:t xml:space="preserve"> units of LBT bandwidths are </w:t>
      </w:r>
      <w:proofErr w:type="gramStart"/>
      <w:r>
        <w:t>sufficient</w:t>
      </w:r>
      <w:proofErr w:type="gramEnd"/>
      <w:r>
        <w:t>, but care must be taken to get a generic definition of the term to avoid any forward compatibility issues</w:t>
      </w:r>
      <w:r w:rsidR="00570ED0">
        <w:t>, e.g. when regulation for the 6 GHz band is settled.</w:t>
      </w:r>
    </w:p>
    <w:p w14:paraId="6FD02378" w14:textId="3EE4BC9C" w:rsidR="00570ED0" w:rsidRDefault="00570ED0" w:rsidP="00ED20EF">
      <w:pPr>
        <w:pStyle w:val="Proposal"/>
      </w:pPr>
      <w:bookmarkStart w:id="64" w:name="_Toc24104664"/>
      <w:r>
        <w:t>No other measurement bandwidth units (apart from units of “LBT bandwidths”) are necessary.</w:t>
      </w:r>
      <w:bookmarkEnd w:id="64"/>
    </w:p>
    <w:p w14:paraId="71F73305" w14:textId="624272E3" w:rsidR="00783FE6" w:rsidRPr="00783FE6" w:rsidRDefault="006B6D82" w:rsidP="00ED20EF">
      <w:pPr>
        <w:pStyle w:val="BodyText"/>
      </w:pPr>
      <w:r>
        <w:t xml:space="preserve">In addition, the NR_CLI_RIM WI has agreed on a RSSI measurement reporting referred to as CLI-RSSI </w:t>
      </w:r>
      <w:r>
        <w:fldChar w:fldCharType="begin"/>
      </w:r>
      <w:r>
        <w:instrText xml:space="preserve"> REF _Ref16686268 \r \h </w:instrText>
      </w:r>
      <w:r>
        <w:fldChar w:fldCharType="separate"/>
      </w:r>
      <w:r w:rsidR="009200D5">
        <w:t>[4]</w:t>
      </w:r>
      <w:r>
        <w:fldChar w:fldCharType="end"/>
      </w:r>
      <w:r>
        <w:fldChar w:fldCharType="begin"/>
      </w:r>
      <w:r>
        <w:instrText xml:space="preserve"> REF _Ref16686270 \r \h </w:instrText>
      </w:r>
      <w:r>
        <w:fldChar w:fldCharType="separate"/>
      </w:r>
      <w:r w:rsidR="009200D5">
        <w:t>[5]</w:t>
      </w:r>
      <w:r>
        <w:fldChar w:fldCharType="end"/>
      </w:r>
      <w:r>
        <w:t xml:space="preserve">. </w:t>
      </w:r>
      <w:r w:rsidR="00965579">
        <w:t xml:space="preserve">Whether to merge the two RSSI definitions introduced in Rel-16 into a common one is something we think is best discussed in RAN2. Thus, we point to our RAN2 paper </w:t>
      </w:r>
      <w:r w:rsidR="00965579">
        <w:fldChar w:fldCharType="begin"/>
      </w:r>
      <w:r w:rsidR="00965579">
        <w:instrText xml:space="preserve"> REF _Ref23330569 \r \h </w:instrText>
      </w:r>
      <w:r w:rsidR="00965579">
        <w:fldChar w:fldCharType="separate"/>
      </w:r>
      <w:r w:rsidR="009200D5">
        <w:t>[10]</w:t>
      </w:r>
      <w:r w:rsidR="00965579">
        <w:fldChar w:fldCharType="end"/>
      </w:r>
      <w:r w:rsidR="00965579">
        <w:t xml:space="preserve"> for this discussion. </w:t>
      </w:r>
      <w:bookmarkStart w:id="65" w:name="_Hlk16601700"/>
    </w:p>
    <w:bookmarkEnd w:id="65"/>
    <w:p w14:paraId="2A901B67" w14:textId="26D4AC6A" w:rsidR="00BB2136" w:rsidRPr="00321409" w:rsidRDefault="00DD5FB0" w:rsidP="007725E8">
      <w:pPr>
        <w:pStyle w:val="Heading2"/>
        <w:rPr>
          <w:lang w:val="en-US"/>
        </w:rPr>
      </w:pPr>
      <w:r>
        <w:rPr>
          <w:lang w:val="en-US"/>
        </w:rPr>
        <w:t>6</w:t>
      </w:r>
      <w:r w:rsidR="00BB2136" w:rsidRPr="00321409">
        <w:rPr>
          <w:lang w:val="en-US"/>
        </w:rPr>
        <w:t>.</w:t>
      </w:r>
      <w:r w:rsidR="006B0471">
        <w:rPr>
          <w:lang w:val="en-US"/>
        </w:rPr>
        <w:t>3</w:t>
      </w:r>
      <w:r w:rsidR="00BB2136" w:rsidRPr="00321409">
        <w:rPr>
          <w:lang w:val="en-US"/>
        </w:rPr>
        <w:tab/>
        <w:t>RLM</w:t>
      </w:r>
      <w:r w:rsidR="0010330A" w:rsidRPr="00321409">
        <w:rPr>
          <w:lang w:val="en-US"/>
        </w:rPr>
        <w:t>/RLF</w:t>
      </w:r>
    </w:p>
    <w:p w14:paraId="605477AD" w14:textId="162FAEB6" w:rsidR="00F72483" w:rsidRPr="001C585A" w:rsidRDefault="00552A1F" w:rsidP="00BD6A38">
      <w:pPr>
        <w:pStyle w:val="BodyText"/>
      </w:pPr>
      <w:r w:rsidRPr="001C585A">
        <w:t>In Rel-15, a</w:t>
      </w:r>
      <w:r w:rsidR="00BD6A38" w:rsidRPr="001C585A">
        <w:t>n RRC_CONNECTED UE in NR is provided with up to X configurable and frequency-dependent reference signals that can be used for radio link monitoring (RLM). Both SS/PBCH block and CSI-RS can be used as RLM reference signals.</w:t>
      </w:r>
      <w:r w:rsidR="00F72483" w:rsidRPr="001C585A">
        <w:t xml:space="preserve"> The </w:t>
      </w:r>
      <w:r w:rsidR="00796038" w:rsidRPr="001C585A">
        <w:t>RLM-RS(s) can be explicitly configured</w:t>
      </w:r>
      <w:r w:rsidR="00F248F2" w:rsidRPr="001C585A">
        <w:t xml:space="preserve"> to </w:t>
      </w:r>
      <w:r w:rsidR="00F248F2" w:rsidRPr="001C585A">
        <w:lastRenderedPageBreak/>
        <w:t xml:space="preserve">the UE. If they are not explicitly configured, then the UE uses the </w:t>
      </w:r>
      <w:r w:rsidR="009E7AC6" w:rsidRPr="001C585A">
        <w:t xml:space="preserve">(periodic) </w:t>
      </w:r>
      <w:r w:rsidR="0097468C" w:rsidRPr="001C585A">
        <w:t>CSI-RS contained in the TCI state that indicates the QCL source for PDCCH</w:t>
      </w:r>
      <w:r w:rsidR="00A249C8" w:rsidRPr="001C585A">
        <w:t>.</w:t>
      </w:r>
    </w:p>
    <w:p w14:paraId="1D66BDEE" w14:textId="7DFEE5BB" w:rsidR="00BD6A38" w:rsidRPr="001C585A" w:rsidRDefault="00BD6A38" w:rsidP="00BD6A38">
      <w:pPr>
        <w:pStyle w:val="BodyText"/>
      </w:pPr>
      <w:r w:rsidRPr="001C585A">
        <w:t xml:space="preserve">Hypothetical block error rate (BLER) is used to determine in-sync (IS) or out-of-sync (OOS) conditions for </w:t>
      </w:r>
      <w:r w:rsidR="00057210" w:rsidRPr="001C585A">
        <w:t xml:space="preserve">either of the </w:t>
      </w:r>
      <w:r w:rsidRPr="001C585A">
        <w:t>reference signal types</w:t>
      </w:r>
      <w:r w:rsidR="00057210" w:rsidRPr="001C585A">
        <w:t xml:space="preserve"> (SS/PBCH block or CSI-RS)</w:t>
      </w:r>
      <w:r w:rsidRPr="001C585A">
        <w:t xml:space="preserve">. A UE assumes to be IS, if the hypothetical BLER estimated on </w:t>
      </w:r>
      <w:r w:rsidRPr="001C585A">
        <w:rPr>
          <w:i/>
        </w:rPr>
        <w:t>at least one</w:t>
      </w:r>
      <w:r w:rsidRPr="001C585A">
        <w:t xml:space="preserve"> out of the X configured RLM reference signals is below a configurable threshold. On the other hand, the UE assumes to be OOS, if the hypothetical BLER estimated on </w:t>
      </w:r>
      <w:r w:rsidRPr="001C585A">
        <w:rPr>
          <w:i/>
        </w:rPr>
        <w:t>all</w:t>
      </w:r>
      <w:r w:rsidRPr="001C585A">
        <w:t xml:space="preserve"> configured RLM reference signals is above yet another configurable threshold.</w:t>
      </w:r>
    </w:p>
    <w:p w14:paraId="0991037E" w14:textId="77777777" w:rsidR="00BD6A38" w:rsidRPr="001C585A" w:rsidRDefault="00BD6A38" w:rsidP="00BD6A38">
      <w:pPr>
        <w:pStyle w:val="BodyText"/>
      </w:pPr>
      <w:r w:rsidRPr="001C585A">
        <w:t>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attempts an RRC Connection Re-establishment by trying to find a suitable cell. If that process is not successful within a certain time, the UE will enter RRC_IDLE state.</w:t>
      </w:r>
    </w:p>
    <w:p w14:paraId="1B3FBCD0" w14:textId="77777777" w:rsidR="00BD6A38" w:rsidRPr="001C585A" w:rsidRDefault="00BD6A38" w:rsidP="00BD6A38">
      <w:pPr>
        <w:pStyle w:val="BodyText"/>
      </w:pPr>
      <w:bookmarkStart w:id="66" w:name="_Toc509834929"/>
      <w:r w:rsidRPr="001C585A">
        <w:t xml:space="preserve">The intention of the RLM/RLF procedures is to prevent the UE from becoming unreachable by the network. Since hypothetical BLER estimation is performed on each RLM resource to indicate in-sync (IS) or out-of-sync (OOS), we need to consider how this should be reflected when an RLM reference signal is not transmitted due to LBT. </w:t>
      </w:r>
    </w:p>
    <w:bookmarkEnd w:id="66"/>
    <w:p w14:paraId="338774F6" w14:textId="2C02CC46" w:rsidR="00BD6A38" w:rsidRPr="001C585A" w:rsidRDefault="00BD6A38" w:rsidP="00BD6A38">
      <w:pPr>
        <w:pStyle w:val="BodyText"/>
      </w:pPr>
    </w:p>
    <w:p w14:paraId="4B282901" w14:textId="6F1B00B3" w:rsidR="00CB5EE1" w:rsidRPr="001C585A" w:rsidRDefault="00CB5EE1" w:rsidP="00BD6A38">
      <w:pPr>
        <w:pStyle w:val="BodyText"/>
      </w:pPr>
      <w:r w:rsidRPr="001C585A">
        <w:t xml:space="preserve">In the agreement from RAN1#96 in Section 3.2, the following </w:t>
      </w:r>
      <w:r w:rsidR="00EE0001" w:rsidRPr="001C585A">
        <w:t>FFS item is identified:</w:t>
      </w:r>
    </w:p>
    <w:p w14:paraId="304A2A7D" w14:textId="77777777" w:rsidR="007552DE" w:rsidRPr="001C585A" w:rsidRDefault="007552DE" w:rsidP="00475206">
      <w:pPr>
        <w:numPr>
          <w:ilvl w:val="0"/>
          <w:numId w:val="16"/>
        </w:numPr>
        <w:spacing w:after="0" w:line="240" w:lineRule="auto"/>
        <w:ind w:left="1186"/>
        <w:rPr>
          <w:rFonts w:ascii="Times New Roman" w:hAnsi="Times New Roman" w:cs="Times New Roman"/>
          <w:lang w:eastAsia="x-none"/>
        </w:rPr>
      </w:pPr>
      <w:r w:rsidRPr="001C585A">
        <w:rPr>
          <w:rFonts w:ascii="Times New Roman" w:hAnsi="Times New Roman" w:cs="Times New Roman"/>
          <w:lang w:eastAsia="x-none"/>
        </w:rPr>
        <w:t>FFS: Mechanism to handle missing RLM-RS due to LBT failure</w:t>
      </w:r>
    </w:p>
    <w:p w14:paraId="04EC7DA6" w14:textId="77777777" w:rsidR="00EE0001" w:rsidRPr="001C585A" w:rsidRDefault="00EE0001" w:rsidP="007725E8">
      <w:pPr>
        <w:spacing w:after="0" w:line="240" w:lineRule="auto"/>
        <w:rPr>
          <w:lang w:eastAsia="x-none"/>
        </w:rPr>
      </w:pPr>
    </w:p>
    <w:p w14:paraId="0FE21825" w14:textId="1FD50C56" w:rsidR="00CB11D7" w:rsidRPr="001C585A" w:rsidRDefault="00B63CEC" w:rsidP="00BD6A38">
      <w:pPr>
        <w:pStyle w:val="BodyText"/>
      </w:pPr>
      <w:r w:rsidRPr="001C585A">
        <w:t>An inherent prob</w:t>
      </w:r>
      <w:r w:rsidR="002B3315" w:rsidRPr="001C585A">
        <w:t>lem for the UE is to reliably distinguish between</w:t>
      </w:r>
      <w:r w:rsidR="00882AE2" w:rsidRPr="001C585A">
        <w:t xml:space="preserve"> missing </w:t>
      </w:r>
      <w:r w:rsidR="00E3619F" w:rsidRPr="00E3619F">
        <w:t>RLM-</w:t>
      </w:r>
      <w:r w:rsidR="00BE1E3A" w:rsidRPr="00E3619F">
        <w:t xml:space="preserve">RS </w:t>
      </w:r>
      <w:r w:rsidR="00BE1E3A" w:rsidRPr="001C585A">
        <w:t>transmissions</w:t>
      </w:r>
      <w:r w:rsidR="00882AE2" w:rsidRPr="001C585A">
        <w:t xml:space="preserve"> and</w:t>
      </w:r>
      <w:r w:rsidR="001557B8" w:rsidRPr="001C585A">
        <w:t xml:space="preserve"> not detecting the </w:t>
      </w:r>
      <w:r w:rsidR="00E3619F" w:rsidRPr="00E3619F">
        <w:t>RLM-</w:t>
      </w:r>
      <w:r w:rsidR="00BE1E3A" w:rsidRPr="00E3619F">
        <w:t>RS</w:t>
      </w:r>
      <w:r w:rsidR="00BE1E3A" w:rsidRPr="001C585A" w:rsidDel="00E3619F">
        <w:t xml:space="preserve"> </w:t>
      </w:r>
      <w:r w:rsidR="00BE1E3A" w:rsidRPr="001C585A">
        <w:t>due</w:t>
      </w:r>
      <w:r w:rsidR="001557B8" w:rsidRPr="001C585A">
        <w:t xml:space="preserve"> to low SINR</w:t>
      </w:r>
      <w:r w:rsidR="00962498" w:rsidRPr="001C585A">
        <w:t xml:space="preserve">. </w:t>
      </w:r>
      <w:r w:rsidR="005F6C77" w:rsidRPr="001C585A">
        <w:t xml:space="preserve">Another </w:t>
      </w:r>
      <w:r w:rsidR="005E182F" w:rsidRPr="001C585A">
        <w:t xml:space="preserve">aspect is whether </w:t>
      </w:r>
      <w:r w:rsidR="000207FB" w:rsidRPr="001C585A">
        <w:t xml:space="preserve">missing </w:t>
      </w:r>
      <w:r w:rsidR="00E3619F" w:rsidRPr="00E3619F">
        <w:t>RLM-</w:t>
      </w:r>
      <w:r w:rsidR="00BE1E3A" w:rsidRPr="00E3619F">
        <w:t>RS</w:t>
      </w:r>
      <w:r w:rsidR="00BE1E3A" w:rsidRPr="001C585A" w:rsidDel="00E3619F">
        <w:t xml:space="preserve"> </w:t>
      </w:r>
      <w:r w:rsidR="00BE1E3A" w:rsidRPr="001C585A">
        <w:t>transmissions</w:t>
      </w:r>
      <w:r w:rsidR="000207FB" w:rsidRPr="001C585A">
        <w:t xml:space="preserve"> </w:t>
      </w:r>
      <w:r w:rsidR="003A1F1C" w:rsidRPr="001C585A">
        <w:t xml:space="preserve">require explicit notification to the higher layer for </w:t>
      </w:r>
      <w:r w:rsidR="00CB11D7" w:rsidRPr="001C585A">
        <w:t>specific actions.</w:t>
      </w:r>
    </w:p>
    <w:p w14:paraId="79F6B781" w14:textId="01C63A78" w:rsidR="00EE0001" w:rsidRPr="001C585A" w:rsidRDefault="00CB11D7" w:rsidP="00BD6A38">
      <w:pPr>
        <w:pStyle w:val="BodyText"/>
      </w:pPr>
      <w:r w:rsidRPr="001C585A">
        <w:t>Our view is that</w:t>
      </w:r>
      <w:r w:rsidR="00406B69" w:rsidRPr="001C585A">
        <w:t xml:space="preserve"> </w:t>
      </w:r>
      <w:r w:rsidR="00212A9B" w:rsidRPr="001C585A">
        <w:t xml:space="preserve">the UE </w:t>
      </w:r>
      <w:r w:rsidR="00416249" w:rsidRPr="001C585A">
        <w:t xml:space="preserve">should tolerate a certain amount of </w:t>
      </w:r>
      <w:r w:rsidR="00E3619F" w:rsidRPr="00E3619F">
        <w:t>RLM-</w:t>
      </w:r>
      <w:r w:rsidR="00BE1E3A" w:rsidRPr="00E3619F">
        <w:t>RS</w:t>
      </w:r>
      <w:r w:rsidR="00BE1E3A" w:rsidRPr="001C585A" w:rsidDel="00E3619F">
        <w:t xml:space="preserve"> </w:t>
      </w:r>
      <w:r w:rsidR="00BE1E3A" w:rsidRPr="001C585A">
        <w:t>detection</w:t>
      </w:r>
      <w:r w:rsidR="00416249" w:rsidRPr="001C585A">
        <w:t xml:space="preserve"> failures </w:t>
      </w:r>
      <w:r w:rsidR="003062F5">
        <w:t>(by prolonging the in-synch and out-of-synch evaluation periods by L</w:t>
      </w:r>
      <w:r w:rsidR="003062F5" w:rsidRPr="00321409">
        <w:rPr>
          <w:vertAlign w:val="subscript"/>
        </w:rPr>
        <w:t>in</w:t>
      </w:r>
      <w:r w:rsidR="003062F5">
        <w:t xml:space="preserve"> and L</w:t>
      </w:r>
      <w:r w:rsidR="003062F5" w:rsidRPr="00321409">
        <w:rPr>
          <w:vertAlign w:val="subscript"/>
        </w:rPr>
        <w:t>out</w:t>
      </w:r>
      <w:r w:rsidR="003062F5">
        <w:t xml:space="preserve"> which is the number of missing SS/PBCH blocks during the evaluation periods) </w:t>
      </w:r>
      <w:r w:rsidR="00416249" w:rsidRPr="001C585A">
        <w:t>but at some limit</w:t>
      </w:r>
      <w:r w:rsidR="00857F33" w:rsidRPr="001C585A">
        <w:t>, declare RLF.</w:t>
      </w:r>
      <w:r w:rsidR="0046537E" w:rsidRPr="001C585A">
        <w:t xml:space="preserve"> </w:t>
      </w:r>
      <w:r w:rsidR="00937530">
        <w:t>The limits of L</w:t>
      </w:r>
      <w:r w:rsidR="00937530" w:rsidRPr="00321409">
        <w:rPr>
          <w:vertAlign w:val="subscript"/>
        </w:rPr>
        <w:t>in</w:t>
      </w:r>
      <w:r w:rsidR="00937530">
        <w:t xml:space="preserve"> and L</w:t>
      </w:r>
      <w:r w:rsidR="00937530" w:rsidRPr="00321409">
        <w:rPr>
          <w:vertAlign w:val="subscript"/>
        </w:rPr>
        <w:t>out</w:t>
      </w:r>
      <w:r w:rsidR="00937530">
        <w:t xml:space="preserve"> are for RAN4 to decide. This is discussed in more detail in </w:t>
      </w:r>
      <w:r w:rsidR="00937530">
        <w:fldChar w:fldCharType="begin"/>
      </w:r>
      <w:r w:rsidR="00937530">
        <w:instrText xml:space="preserve"> REF _Ref16772232 \r \h </w:instrText>
      </w:r>
      <w:r w:rsidR="00937530">
        <w:fldChar w:fldCharType="separate"/>
      </w:r>
      <w:r w:rsidR="009200D5">
        <w:t>[6]</w:t>
      </w:r>
      <w:r w:rsidR="00937530">
        <w:fldChar w:fldCharType="end"/>
      </w:r>
      <w:r w:rsidR="00937530">
        <w:t xml:space="preserve">. </w:t>
      </w:r>
    </w:p>
    <w:p w14:paraId="5A529C8F" w14:textId="79D538E0" w:rsidR="003347BC" w:rsidRPr="001C585A" w:rsidRDefault="008B2DF2" w:rsidP="00BD6A38">
      <w:pPr>
        <w:pStyle w:val="Proposal"/>
        <w:rPr>
          <w:szCs w:val="20"/>
        </w:rPr>
      </w:pPr>
      <w:bookmarkStart w:id="67" w:name="_Toc536818437"/>
      <w:bookmarkStart w:id="68" w:name="_Toc536818442"/>
      <w:bookmarkStart w:id="69" w:name="_Toc536818446"/>
      <w:bookmarkStart w:id="70" w:name="_Toc784836"/>
      <w:bookmarkStart w:id="71" w:name="_Toc1030898"/>
      <w:bookmarkStart w:id="72" w:name="_Toc24104665"/>
      <w:r>
        <w:t xml:space="preserve">Mechanism to handle missing RLM-RS is up to </w:t>
      </w:r>
      <w:r w:rsidR="00C85197" w:rsidRPr="001C585A">
        <w:t xml:space="preserve">RAN4 </w:t>
      </w:r>
      <w:r>
        <w:t>to decide.</w:t>
      </w:r>
      <w:bookmarkEnd w:id="72"/>
      <w:r w:rsidRPr="001C585A" w:rsidDel="008B2DF2">
        <w:t xml:space="preserve"> </w:t>
      </w:r>
    </w:p>
    <w:p w14:paraId="33640D92" w14:textId="49D58EC7" w:rsidR="00EE0001" w:rsidRPr="001C585A" w:rsidRDefault="00EE0001" w:rsidP="00BD6A38">
      <w:pPr>
        <w:pStyle w:val="BodyText"/>
      </w:pPr>
      <w:bookmarkStart w:id="73" w:name="_Toc7694100"/>
      <w:bookmarkStart w:id="74" w:name="_Toc7694101"/>
      <w:bookmarkStart w:id="75" w:name="_Toc7694102"/>
      <w:bookmarkEnd w:id="67"/>
      <w:bookmarkEnd w:id="68"/>
      <w:bookmarkEnd w:id="69"/>
      <w:bookmarkEnd w:id="70"/>
      <w:bookmarkEnd w:id="71"/>
      <w:bookmarkEnd w:id="73"/>
      <w:bookmarkEnd w:id="74"/>
      <w:bookmarkEnd w:id="75"/>
      <w:r w:rsidRPr="001C585A">
        <w:t>In the agreement from RAN1#96</w:t>
      </w:r>
      <w:r w:rsidR="00D964C2" w:rsidRPr="001C585A">
        <w:t xml:space="preserve"> in Section 3.2</w:t>
      </w:r>
      <w:r w:rsidRPr="001C585A">
        <w:t>, the following FFS item is identified:</w:t>
      </w:r>
    </w:p>
    <w:p w14:paraId="202D17C2" w14:textId="77777777" w:rsidR="007552DE" w:rsidRPr="001C585A" w:rsidRDefault="007552DE" w:rsidP="00475206">
      <w:pPr>
        <w:numPr>
          <w:ilvl w:val="1"/>
          <w:numId w:val="16"/>
        </w:numPr>
        <w:spacing w:after="0" w:line="240" w:lineRule="auto"/>
        <w:ind w:left="1906"/>
        <w:rPr>
          <w:rFonts w:ascii="Times New Roman" w:hAnsi="Times New Roman" w:cs="Times New Roman"/>
          <w:lang w:eastAsia="x-none"/>
        </w:rPr>
      </w:pPr>
      <w:r w:rsidRPr="001C585A">
        <w:rPr>
          <w:rFonts w:ascii="Times New Roman" w:hAnsi="Times New Roman" w:cs="Times New Roman"/>
          <w:lang w:eastAsia="x-none"/>
        </w:rPr>
        <w:t>FFS: Any relationship of RLM measurements based on CSI-RS to the measurement window.</w:t>
      </w:r>
    </w:p>
    <w:p w14:paraId="563DDC99" w14:textId="77777777" w:rsidR="00EE0001" w:rsidRPr="001C585A" w:rsidRDefault="00EE0001" w:rsidP="007725E8">
      <w:pPr>
        <w:spacing w:after="0" w:line="240" w:lineRule="auto"/>
        <w:rPr>
          <w:lang w:eastAsia="x-none"/>
        </w:rPr>
      </w:pPr>
    </w:p>
    <w:p w14:paraId="1966240B" w14:textId="0A3EB8F8" w:rsidR="00BD6A38" w:rsidRDefault="00BD6A38" w:rsidP="00DF0D12">
      <w:pPr>
        <w:pStyle w:val="BodyText"/>
      </w:pPr>
      <w:r w:rsidRPr="001C585A">
        <w:t xml:space="preserve">Compared to </w:t>
      </w:r>
      <w:r w:rsidR="00731CA2" w:rsidRPr="001C585A">
        <w:t>Rel-15</w:t>
      </w:r>
      <w:r w:rsidRPr="001C585A">
        <w:t xml:space="preserve">, NR-U operation will likely have </w:t>
      </w:r>
      <w:r w:rsidR="00807516" w:rsidRPr="001C585A">
        <w:t xml:space="preserve">fewer </w:t>
      </w:r>
      <w:r w:rsidR="009B5471">
        <w:t>SS/PBCH block</w:t>
      </w:r>
      <w:r w:rsidR="009B5471" w:rsidRPr="001C585A">
        <w:t xml:space="preserve"> </w:t>
      </w:r>
      <w:r w:rsidRPr="001C585A">
        <w:t xml:space="preserve">transmissions due to LBT failures and/or longer configured </w:t>
      </w:r>
      <w:r w:rsidR="009B5471">
        <w:t xml:space="preserve">SS/PBCH block </w:t>
      </w:r>
      <w:r w:rsidRPr="001C585A">
        <w:t>periods. As proposed in our companion contribution</w:t>
      </w:r>
      <w:r w:rsidR="007703A4">
        <w:t xml:space="preserve"> </w:t>
      </w:r>
      <w:r w:rsidR="007703A4">
        <w:fldChar w:fldCharType="begin"/>
      </w:r>
      <w:r w:rsidR="007703A4">
        <w:instrText xml:space="preserve"> REF _Ref20919537 \r \h </w:instrText>
      </w:r>
      <w:r w:rsidR="007703A4">
        <w:fldChar w:fldCharType="separate"/>
      </w:r>
      <w:r w:rsidR="009200D5">
        <w:t>[2]</w:t>
      </w:r>
      <w:r w:rsidR="007703A4">
        <w:fldChar w:fldCharType="end"/>
      </w:r>
      <w:r w:rsidRPr="001C585A">
        <w:t xml:space="preserve">, we don’t see </w:t>
      </w:r>
      <w:r w:rsidR="00683CC0" w:rsidRPr="001C585A">
        <w:t xml:space="preserve">a </w:t>
      </w:r>
      <w:r w:rsidRPr="001C585A">
        <w:t xml:space="preserve">benefit of periodic CSI-RS for tracking </w:t>
      </w:r>
      <w:r w:rsidR="00CB2599" w:rsidRPr="001C585A">
        <w:t xml:space="preserve">(periodic TRS) </w:t>
      </w:r>
      <w:r w:rsidRPr="001C585A">
        <w:t>in unlicensed systems.</w:t>
      </w:r>
      <w:r w:rsidR="001E744E" w:rsidRPr="001C585A">
        <w:t xml:space="preserve"> Use of aperiodic TRS</w:t>
      </w:r>
      <w:r w:rsidR="008A413F" w:rsidRPr="001C585A">
        <w:t>, and aperiodic CSI-RS in general,</w:t>
      </w:r>
      <w:r w:rsidR="001E744E" w:rsidRPr="001C585A">
        <w:t xml:space="preserve"> is a more natural fit for unlicensed operation.</w:t>
      </w:r>
      <w:r w:rsidR="00637D8F" w:rsidRPr="001C585A">
        <w:t xml:space="preserve"> For</w:t>
      </w:r>
      <w:r w:rsidRPr="001C585A">
        <w:t xml:space="preserve"> RLM, </w:t>
      </w:r>
      <w:r w:rsidR="008A413F" w:rsidRPr="001C585A">
        <w:t xml:space="preserve">it makes sense that the UE could make use of </w:t>
      </w:r>
      <w:r w:rsidRPr="001C585A">
        <w:t xml:space="preserve">aperiodic CSI-RS </w:t>
      </w:r>
      <w:r w:rsidR="00E2318D" w:rsidRPr="001C585A">
        <w:t xml:space="preserve">when triggered. Furthermore, the aperiodic CSI-RS </w:t>
      </w:r>
      <w:r w:rsidR="00EE0001" w:rsidRPr="001C585A">
        <w:t xml:space="preserve">would most likely be triggered inside a gNB acquired COT, which has no relationship to the </w:t>
      </w:r>
      <w:r w:rsidR="00E3619F">
        <w:t>DRS transmission</w:t>
      </w:r>
      <w:r w:rsidR="00F91A48" w:rsidRPr="001C585A">
        <w:t xml:space="preserve"> </w:t>
      </w:r>
      <w:r w:rsidR="00E2318D" w:rsidRPr="001C585A">
        <w:t xml:space="preserve">window. </w:t>
      </w:r>
      <w:r w:rsidR="00EE0001" w:rsidRPr="001C585A">
        <w:t>Hence, t</w:t>
      </w:r>
      <w:r w:rsidR="00E2318D" w:rsidRPr="001C585A">
        <w:t xml:space="preserve">he UE </w:t>
      </w:r>
      <w:r w:rsidR="00CE3A31">
        <w:t>c</w:t>
      </w:r>
      <w:r w:rsidR="00CE3A31" w:rsidRPr="001C585A">
        <w:t xml:space="preserve">ould </w:t>
      </w:r>
      <w:r w:rsidR="00E2318D" w:rsidRPr="001C585A">
        <w:t xml:space="preserve">be able to make use of ap-CSI-RS for RLM outside </w:t>
      </w:r>
      <w:r w:rsidRPr="001C585A">
        <w:t xml:space="preserve">the </w:t>
      </w:r>
      <w:r w:rsidR="00497D60">
        <w:t>DRS transmission</w:t>
      </w:r>
      <w:r w:rsidR="00BD263A" w:rsidRPr="001C585A">
        <w:t xml:space="preserve"> </w:t>
      </w:r>
      <w:r w:rsidR="00CB5EE1" w:rsidRPr="001C585A">
        <w:t xml:space="preserve">window </w:t>
      </w:r>
      <w:r w:rsidRPr="001C585A">
        <w:t xml:space="preserve">when needed. Increasing the number of samples used in RLM algorithms will invariably increase the measurement accuracy. </w:t>
      </w:r>
      <w:r w:rsidR="00330296">
        <w:t xml:space="preserve">That said, we propose to </w:t>
      </w:r>
      <w:r w:rsidR="005C79D7">
        <w:t>focus RAN1’s efforts on SS/PBCH block based RLM before discussing mechanisms for including additional detected RLM-RS (such as aperiodic CS</w:t>
      </w:r>
      <w:r w:rsidR="00CE3A31">
        <w:t>I</w:t>
      </w:r>
      <w:r w:rsidR="005C79D7">
        <w:t>-RS) in the evaluation.</w:t>
      </w:r>
    </w:p>
    <w:p w14:paraId="5AFEE593" w14:textId="5D90E581" w:rsidR="005C79D7" w:rsidRDefault="005C79D7" w:rsidP="00321409">
      <w:pPr>
        <w:pStyle w:val="Proposal"/>
      </w:pPr>
      <w:bookmarkStart w:id="76" w:name="_Toc24104666"/>
      <w:r>
        <w:t>Focus RAN1’s efforts on SS/PBCH block based RLM before discussing mechanisms for including additional detected RLM-RS (such as aperiodic CS</w:t>
      </w:r>
      <w:r w:rsidR="00326FF2">
        <w:t>I</w:t>
      </w:r>
      <w:r>
        <w:t>-RS) in the evaluation</w:t>
      </w:r>
      <w:r w:rsidR="00CE3A31">
        <w:t>.</w:t>
      </w:r>
      <w:bookmarkEnd w:id="76"/>
    </w:p>
    <w:p w14:paraId="03FEB816" w14:textId="7C0F9C5A" w:rsidR="00C01F33" w:rsidRPr="00321409" w:rsidRDefault="00DD5FB0" w:rsidP="00CE0424">
      <w:pPr>
        <w:pStyle w:val="Heading1"/>
        <w:rPr>
          <w:lang w:val="en-US"/>
        </w:rPr>
      </w:pPr>
      <w:bookmarkStart w:id="77" w:name="_Toc4689284"/>
      <w:bookmarkStart w:id="78" w:name="_Toc4695110"/>
      <w:bookmarkStart w:id="79" w:name="_Toc4685681"/>
      <w:bookmarkStart w:id="80" w:name="_Toc4685718"/>
      <w:bookmarkStart w:id="81" w:name="_Toc4685743"/>
      <w:bookmarkStart w:id="82" w:name="_Toc4685774"/>
      <w:bookmarkStart w:id="83" w:name="_Toc4688854"/>
      <w:bookmarkStart w:id="84" w:name="_Toc4689183"/>
      <w:bookmarkStart w:id="85" w:name="_Toc4689285"/>
      <w:bookmarkStart w:id="86" w:name="_Toc4695111"/>
      <w:bookmarkStart w:id="87" w:name="_Toc4685682"/>
      <w:bookmarkStart w:id="88" w:name="_Toc4685719"/>
      <w:bookmarkStart w:id="89" w:name="_Toc4685744"/>
      <w:bookmarkStart w:id="90" w:name="_Toc4685775"/>
      <w:bookmarkStart w:id="91" w:name="_Toc4688855"/>
      <w:bookmarkStart w:id="92" w:name="_Toc4689184"/>
      <w:bookmarkStart w:id="93" w:name="_Toc4689286"/>
      <w:bookmarkStart w:id="94" w:name="_Toc469511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lang w:val="en-US"/>
        </w:rPr>
        <w:lastRenderedPageBreak/>
        <w:t>7</w:t>
      </w:r>
      <w:r w:rsidR="00FD4E77" w:rsidRPr="00321409">
        <w:rPr>
          <w:lang w:val="en-US"/>
        </w:rPr>
        <w:tab/>
      </w:r>
      <w:r w:rsidR="00C01F33" w:rsidRPr="00321409">
        <w:rPr>
          <w:lang w:val="en-US"/>
        </w:rPr>
        <w:t>Conclusion</w:t>
      </w:r>
    </w:p>
    <w:p w14:paraId="5DE8D345" w14:textId="77777777" w:rsidR="008E065E" w:rsidRPr="001C585A" w:rsidRDefault="008E065E" w:rsidP="008E065E">
      <w:pPr>
        <w:pStyle w:val="BodyText"/>
        <w:rPr>
          <w:b/>
        </w:rPr>
      </w:pPr>
      <w:r w:rsidRPr="001C585A">
        <w:t xml:space="preserve">In </w:t>
      </w:r>
      <w:r w:rsidR="007729A2" w:rsidRPr="001C585A">
        <w:t xml:space="preserve">the previous </w:t>
      </w:r>
      <w:r w:rsidRPr="001C585A">
        <w:t>section</w:t>
      </w:r>
      <w:r w:rsidR="007729A2" w:rsidRPr="001C585A">
        <w:t>s</w:t>
      </w:r>
      <w:r w:rsidRPr="001C585A">
        <w:t xml:space="preserve"> we made the following observations:</w:t>
      </w:r>
      <w:r w:rsidR="00C93814" w:rsidRPr="001C585A">
        <w:rPr>
          <w:b/>
        </w:rPr>
        <w:t xml:space="preserve"> </w:t>
      </w:r>
    </w:p>
    <w:p w14:paraId="6BB3739E" w14:textId="77777777" w:rsidR="007924F9" w:rsidRDefault="006F6582">
      <w:pPr>
        <w:pStyle w:val="TableofFigures"/>
        <w:tabs>
          <w:tab w:val="right" w:leader="dot" w:pos="9629"/>
        </w:tabs>
        <w:rPr>
          <w:rFonts w:asciiTheme="minorHAnsi" w:eastAsiaTheme="minorEastAsia" w:hAnsiTheme="minorHAnsi"/>
          <w:b w:val="0"/>
          <w:noProof/>
          <w:lang w:eastAsia="en-US"/>
        </w:rPr>
      </w:pPr>
      <w:r w:rsidRPr="00BE017E">
        <w:rPr>
          <w:b w:val="0"/>
          <w:bCs/>
        </w:rPr>
        <w:fldChar w:fldCharType="begin"/>
      </w:r>
      <w:r w:rsidRPr="001C585A">
        <w:rPr>
          <w:b w:val="0"/>
          <w:bCs/>
        </w:rPr>
        <w:instrText xml:space="preserve"> TOC \f O \n \h \z \t "Observation" \c </w:instrText>
      </w:r>
      <w:r w:rsidRPr="00BE017E">
        <w:rPr>
          <w:b w:val="0"/>
          <w:bCs/>
        </w:rPr>
        <w:fldChar w:fldCharType="separate"/>
      </w:r>
      <w:hyperlink w:anchor="_Toc24104667" w:history="1">
        <w:r w:rsidR="007924F9" w:rsidRPr="007E7889">
          <w:rPr>
            <w:rStyle w:val="Hyperlink"/>
            <w:noProof/>
          </w:rPr>
          <w:t>Observation 1</w:t>
        </w:r>
        <w:r w:rsidR="007924F9">
          <w:rPr>
            <w:rFonts w:asciiTheme="minorHAnsi" w:eastAsiaTheme="minorEastAsia" w:hAnsiTheme="minorHAnsi"/>
            <w:b w:val="0"/>
            <w:noProof/>
            <w:lang w:eastAsia="en-US"/>
          </w:rPr>
          <w:tab/>
        </w:r>
        <w:r w:rsidR="007924F9" w:rsidRPr="007E7889">
          <w:rPr>
            <w:rStyle w:val="Hyperlink"/>
            <w:i/>
            <w:noProof/>
          </w:rPr>
          <w:t>Q</w:t>
        </w:r>
        <w:r w:rsidR="007924F9" w:rsidRPr="007E7889">
          <w:rPr>
            <w:rStyle w:val="Hyperlink"/>
            <w:noProof/>
          </w:rPr>
          <w:t xml:space="preserve"> is strictly only needed after SIB1 has been read.</w:t>
        </w:r>
      </w:hyperlink>
    </w:p>
    <w:p w14:paraId="5E675AC0"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8" w:history="1">
        <w:r w:rsidRPr="007E7889">
          <w:rPr>
            <w:rStyle w:val="Hyperlink"/>
            <w:noProof/>
          </w:rPr>
          <w:t>Observation 2</w:t>
        </w:r>
        <w:r>
          <w:rPr>
            <w:rFonts w:asciiTheme="minorHAnsi" w:eastAsiaTheme="minorEastAsia" w:hAnsiTheme="minorHAnsi"/>
            <w:b w:val="0"/>
            <w:noProof/>
            <w:lang w:eastAsia="en-US"/>
          </w:rPr>
          <w:tab/>
        </w:r>
        <w:r w:rsidRPr="007E7889">
          <w:rPr>
            <w:rStyle w:val="Hyperlink"/>
            <w:noProof/>
          </w:rPr>
          <w:t>For the vast majority of use cases, when the UE is required to monitor Type0-PDCCH CSS, Q is known, and thus signaling Q in MIB is not motivated.</w:t>
        </w:r>
      </w:hyperlink>
    </w:p>
    <w:p w14:paraId="3E115663"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9" w:history="1">
        <w:r w:rsidRPr="007E7889">
          <w:rPr>
            <w:rStyle w:val="Hyperlink"/>
            <w:noProof/>
          </w:rPr>
          <w:t>Observation 3</w:t>
        </w:r>
        <w:r>
          <w:rPr>
            <w:rFonts w:asciiTheme="minorHAnsi" w:eastAsiaTheme="minorEastAsia" w:hAnsiTheme="minorHAnsi"/>
            <w:b w:val="0"/>
            <w:noProof/>
            <w:lang w:eastAsia="en-US"/>
          </w:rPr>
          <w:tab/>
        </w:r>
        <w:r w:rsidRPr="007E7889">
          <w:rPr>
            <w:rStyle w:val="Hyperlink"/>
            <w:noProof/>
          </w:rPr>
          <w:t>In order to define a new MIB to carry the parameter Q, 3 bits (not 2) must be found to be not necessary in the current MIB.</w:t>
        </w:r>
      </w:hyperlink>
    </w:p>
    <w:p w14:paraId="3A2BD740"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70" w:history="1">
        <w:r w:rsidRPr="007E7889">
          <w:rPr>
            <w:rStyle w:val="Hyperlink"/>
            <w:noProof/>
            <w:lang w:val="en-GB"/>
          </w:rPr>
          <w:t>Observation 4</w:t>
        </w:r>
        <w:r>
          <w:rPr>
            <w:rFonts w:asciiTheme="minorHAnsi" w:eastAsiaTheme="minorEastAsia" w:hAnsiTheme="minorHAnsi"/>
            <w:b w:val="0"/>
            <w:noProof/>
            <w:lang w:eastAsia="en-US"/>
          </w:rPr>
          <w:tab/>
        </w:r>
        <w:r w:rsidRPr="007E7889">
          <w:rPr>
            <w:rStyle w:val="Hyperlink"/>
            <w:noProof/>
            <w:lang w:val="en-GB"/>
          </w:rPr>
          <w:t>If the SS/PBCH block index is defined as modulo(A,Q) as in Proposal 8, the “beam index” to PRACH occasion mapping is preserved without modifying the Rel-15 procedure.</w:t>
        </w:r>
      </w:hyperlink>
    </w:p>
    <w:p w14:paraId="3EED906F"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71" w:history="1">
        <w:r w:rsidRPr="007E7889">
          <w:rPr>
            <w:rStyle w:val="Hyperlink"/>
            <w:noProof/>
          </w:rPr>
          <w:t>Observation 5</w:t>
        </w:r>
        <w:r>
          <w:rPr>
            <w:rFonts w:asciiTheme="minorHAnsi" w:eastAsiaTheme="minorEastAsia" w:hAnsiTheme="minorHAnsi"/>
            <w:b w:val="0"/>
            <w:noProof/>
            <w:lang w:eastAsia="en-US"/>
          </w:rPr>
          <w:tab/>
        </w:r>
        <w:r w:rsidRPr="007E7889">
          <w:rPr>
            <w:rStyle w:val="Hyperlink"/>
            <w:noProof/>
          </w:rPr>
          <w:t>The Rel-15 mechanism of dynamically and semi-statically indicating resources not available for PDSCH can be used as a rate matching mechanism for SS/PBCH Block(s) in the DRS transmission window.</w:t>
        </w:r>
      </w:hyperlink>
    </w:p>
    <w:p w14:paraId="3ACAD887"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72" w:history="1">
        <w:r w:rsidRPr="007E7889">
          <w:rPr>
            <w:rStyle w:val="Hyperlink"/>
            <w:noProof/>
          </w:rPr>
          <w:t>Observation 6</w:t>
        </w:r>
        <w:r>
          <w:rPr>
            <w:rFonts w:asciiTheme="minorHAnsi" w:eastAsiaTheme="minorEastAsia" w:hAnsiTheme="minorHAnsi"/>
            <w:b w:val="0"/>
            <w:noProof/>
            <w:lang w:eastAsia="en-US"/>
          </w:rPr>
          <w:tab/>
        </w:r>
        <w:r w:rsidRPr="007E7889">
          <w:rPr>
            <w:rStyle w:val="Hyperlink"/>
            <w:noProof/>
          </w:rPr>
          <w:t>Rel-15 NR already supports configurations so that the mapping of transmitted SS/PBCH blocks to RACH occasions is robust to LBT failures.</w:t>
        </w:r>
      </w:hyperlink>
    </w:p>
    <w:p w14:paraId="12E18398"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73" w:history="1">
        <w:r w:rsidRPr="007E7889">
          <w:rPr>
            <w:rStyle w:val="Hyperlink"/>
            <w:noProof/>
          </w:rPr>
          <w:t>Observation 7</w:t>
        </w:r>
        <w:r>
          <w:rPr>
            <w:rFonts w:asciiTheme="minorHAnsi" w:eastAsiaTheme="minorEastAsia" w:hAnsiTheme="minorHAnsi"/>
            <w:b w:val="0"/>
            <w:noProof/>
            <w:lang w:eastAsia="en-US"/>
          </w:rPr>
          <w:tab/>
        </w:r>
        <w:r w:rsidRPr="007E7889">
          <w:rPr>
            <w:rStyle w:val="Hyperlink"/>
            <w:noProof/>
          </w:rPr>
          <w:t>Scheduling of PRACH resources via DCI is an optimization and is not critical for the first release of NR-U. It can be considered for a later release in a backwards-compatible manner.</w:t>
        </w:r>
      </w:hyperlink>
    </w:p>
    <w:p w14:paraId="70821BCF"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74" w:history="1">
        <w:r w:rsidRPr="007E7889">
          <w:rPr>
            <w:rStyle w:val="Hyperlink"/>
            <w:noProof/>
          </w:rPr>
          <w:t>Observation 8</w:t>
        </w:r>
        <w:r>
          <w:rPr>
            <w:rFonts w:asciiTheme="minorHAnsi" w:eastAsiaTheme="minorEastAsia" w:hAnsiTheme="minorHAnsi"/>
            <w:b w:val="0"/>
            <w:noProof/>
            <w:lang w:eastAsia="en-US"/>
          </w:rPr>
          <w:tab/>
        </w:r>
        <w:r w:rsidRPr="007E7889">
          <w:rPr>
            <w:rStyle w:val="Hyperlink"/>
            <w:noProof/>
          </w:rPr>
          <w:t>Mappings similar to group-wise SSB-to-RO mapping is already supported in NR Rel-15.</w:t>
        </w:r>
      </w:hyperlink>
    </w:p>
    <w:p w14:paraId="4A71B9E0"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75" w:history="1">
        <w:r w:rsidRPr="007E7889">
          <w:rPr>
            <w:rStyle w:val="Hyperlink"/>
            <w:noProof/>
          </w:rPr>
          <w:t>Observation 9</w:t>
        </w:r>
        <w:r>
          <w:rPr>
            <w:rFonts w:asciiTheme="minorHAnsi" w:eastAsiaTheme="minorEastAsia" w:hAnsiTheme="minorHAnsi"/>
            <w:b w:val="0"/>
            <w:noProof/>
            <w:lang w:eastAsia="en-US"/>
          </w:rPr>
          <w:tab/>
        </w:r>
        <w:r w:rsidRPr="007E7889">
          <w:rPr>
            <w:rStyle w:val="Hyperlink"/>
            <w:noProof/>
          </w:rPr>
          <w:t>Multiple Msg3 TX opportunities with a single or multiple RARs in the time domain was deprioritized in RAN#84.</w:t>
        </w:r>
      </w:hyperlink>
    </w:p>
    <w:p w14:paraId="07F4B2F3"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76" w:history="1">
        <w:r w:rsidRPr="007E7889">
          <w:rPr>
            <w:rStyle w:val="Hyperlink"/>
            <w:noProof/>
          </w:rPr>
          <w:t>Observation 10</w:t>
        </w:r>
        <w:r>
          <w:rPr>
            <w:rFonts w:asciiTheme="minorHAnsi" w:eastAsiaTheme="minorEastAsia" w:hAnsiTheme="minorHAnsi"/>
            <w:b w:val="0"/>
            <w:noProof/>
            <w:lang w:eastAsia="en-US"/>
          </w:rPr>
          <w:tab/>
        </w:r>
        <w:r w:rsidRPr="007E7889">
          <w:rPr>
            <w:rStyle w:val="Hyperlink"/>
            <w:noProof/>
          </w:rPr>
          <w:t>Even if all details of how to schedule MsgB are not completely settled yet, we expect that the same approach as for Msg2 can be used for MsgB.</w:t>
        </w:r>
      </w:hyperlink>
    </w:p>
    <w:p w14:paraId="1345A598" w14:textId="4EAFC009" w:rsidR="006E1C82" w:rsidRPr="001C585A" w:rsidRDefault="006F6582" w:rsidP="008E065E">
      <w:pPr>
        <w:pStyle w:val="BodyText"/>
        <w:rPr>
          <w:b/>
          <w:bCs/>
        </w:rPr>
      </w:pPr>
      <w:r w:rsidRPr="00BE017E">
        <w:rPr>
          <w:b/>
          <w:bCs/>
        </w:rPr>
        <w:fldChar w:fldCharType="end"/>
      </w:r>
    </w:p>
    <w:p w14:paraId="71EE6300" w14:textId="77777777" w:rsidR="006E1C82" w:rsidRPr="001C585A" w:rsidRDefault="008E065E" w:rsidP="006E1C82">
      <w:pPr>
        <w:pStyle w:val="BodyText"/>
      </w:pPr>
      <w:r w:rsidRPr="001C585A">
        <w:t xml:space="preserve">Based on the discussion in </w:t>
      </w:r>
      <w:r w:rsidR="007729A2" w:rsidRPr="001C585A">
        <w:t xml:space="preserve">the previous </w:t>
      </w:r>
      <w:r w:rsidRPr="001C585A">
        <w:t>section</w:t>
      </w:r>
      <w:r w:rsidR="007729A2" w:rsidRPr="001C585A">
        <w:t>s</w:t>
      </w:r>
      <w:r w:rsidRPr="001C585A">
        <w:t xml:space="preserve"> we propose the following:</w:t>
      </w:r>
    </w:p>
    <w:p w14:paraId="50819E1A" w14:textId="77777777" w:rsidR="007924F9" w:rsidRDefault="006E1C82">
      <w:pPr>
        <w:pStyle w:val="TableofFigures"/>
        <w:tabs>
          <w:tab w:val="right" w:leader="dot" w:pos="9629"/>
        </w:tabs>
        <w:rPr>
          <w:rFonts w:asciiTheme="minorHAnsi" w:eastAsiaTheme="minorEastAsia" w:hAnsiTheme="minorHAnsi"/>
          <w:b w:val="0"/>
          <w:noProof/>
          <w:lang w:eastAsia="en-US"/>
        </w:rPr>
      </w:pPr>
      <w:r w:rsidRPr="00BE017E">
        <w:rPr>
          <w:b w:val="0"/>
          <w:bCs/>
        </w:rPr>
        <w:fldChar w:fldCharType="begin"/>
      </w:r>
      <w:r w:rsidRPr="001C585A">
        <w:rPr>
          <w:b w:val="0"/>
          <w:bCs/>
        </w:rPr>
        <w:instrText xml:space="preserve"> TOC \n \h \z \t "Proposal" \c </w:instrText>
      </w:r>
      <w:r w:rsidRPr="00BE017E">
        <w:rPr>
          <w:b w:val="0"/>
          <w:bCs/>
        </w:rPr>
        <w:fldChar w:fldCharType="separate"/>
      </w:r>
      <w:hyperlink w:anchor="_Toc24104644" w:history="1">
        <w:r w:rsidR="007924F9" w:rsidRPr="00485192">
          <w:rPr>
            <w:rStyle w:val="Hyperlink"/>
            <w:noProof/>
          </w:rPr>
          <w:t>Proposal 1</w:t>
        </w:r>
        <w:r w:rsidR="007924F9">
          <w:rPr>
            <w:rFonts w:asciiTheme="minorHAnsi" w:eastAsiaTheme="minorEastAsia" w:hAnsiTheme="minorHAnsi"/>
            <w:b w:val="0"/>
            <w:noProof/>
            <w:lang w:eastAsia="en-US"/>
          </w:rPr>
          <w:tab/>
        </w:r>
        <w:r w:rsidR="007924F9" w:rsidRPr="00485192">
          <w:rPr>
            <w:rStyle w:val="Hyperlink"/>
            <w:noProof/>
          </w:rPr>
          <w:t xml:space="preserve">In order not to limit deployment scenarios and to enable release-independent addition of new bands (6 GHz), the number of bits in the parameter </w:t>
        </w:r>
        <w:r w:rsidR="007924F9" w:rsidRPr="00485192">
          <w:rPr>
            <w:rStyle w:val="Hyperlink"/>
            <w:i/>
            <w:noProof/>
          </w:rPr>
          <w:t>pdcch-ConfigSIB1</w:t>
        </w:r>
        <w:r w:rsidR="007924F9" w:rsidRPr="00485192">
          <w:rPr>
            <w:rStyle w:val="Hyperlink"/>
            <w:noProof/>
          </w:rPr>
          <w:t xml:space="preserve"> in MIB should not be changed from its current value of 8.</w:t>
        </w:r>
      </w:hyperlink>
    </w:p>
    <w:p w14:paraId="179B3625"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45" w:history="1">
        <w:r w:rsidRPr="00485192">
          <w:rPr>
            <w:rStyle w:val="Hyperlink"/>
            <w:noProof/>
          </w:rPr>
          <w:t>Proposal 2</w:t>
        </w:r>
        <w:r>
          <w:rPr>
            <w:rFonts w:asciiTheme="minorHAnsi" w:eastAsiaTheme="minorEastAsia" w:hAnsiTheme="minorHAnsi"/>
            <w:b w:val="0"/>
            <w:noProof/>
            <w:lang w:eastAsia="en-US"/>
          </w:rPr>
          <w:tab/>
        </w:r>
        <w:r w:rsidRPr="00485192">
          <w:rPr>
            <w:rStyle w:val="Hyperlink"/>
            <w:noProof/>
          </w:rPr>
          <w:t xml:space="preserve">Support signaling of </w:t>
        </w:r>
        <w:r w:rsidRPr="00485192">
          <w:rPr>
            <w:rStyle w:val="Hyperlink"/>
            <w:i/>
            <w:noProof/>
          </w:rPr>
          <w:t>Q</w:t>
        </w:r>
        <w:r w:rsidRPr="00485192">
          <w:rPr>
            <w:rStyle w:val="Hyperlink"/>
            <w:noProof/>
          </w:rPr>
          <w:t xml:space="preserve"> for the serving cell in SIB1 (</w:t>
        </w:r>
        <w:r w:rsidRPr="00485192">
          <w:rPr>
            <w:rStyle w:val="Hyperlink"/>
            <w:i/>
            <w:iCs/>
            <w:noProof/>
          </w:rPr>
          <w:t>ServingCellConfigCommonSIB</w:t>
        </w:r>
        <w:r w:rsidRPr="00485192">
          <w:rPr>
            <w:rStyle w:val="Hyperlink"/>
            <w:noProof/>
          </w:rPr>
          <w:t>).</w:t>
        </w:r>
      </w:hyperlink>
    </w:p>
    <w:p w14:paraId="3878F618"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46" w:history="1">
        <w:r w:rsidRPr="00485192">
          <w:rPr>
            <w:rStyle w:val="Hyperlink"/>
            <w:noProof/>
          </w:rPr>
          <w:t>Proposal 3</w:t>
        </w:r>
        <w:r>
          <w:rPr>
            <w:rFonts w:asciiTheme="minorHAnsi" w:eastAsiaTheme="minorEastAsia" w:hAnsiTheme="minorHAnsi"/>
            <w:b w:val="0"/>
            <w:noProof/>
            <w:lang w:eastAsia="en-US"/>
          </w:rPr>
          <w:tab/>
        </w:r>
        <w:r w:rsidRPr="00485192">
          <w:rPr>
            <w:rStyle w:val="Hyperlink"/>
            <w:noProof/>
          </w:rPr>
          <w:t xml:space="preserve">Support dedicated signaling of Q for a serving cell in </w:t>
        </w:r>
        <w:r w:rsidRPr="00485192">
          <w:rPr>
            <w:rStyle w:val="Hyperlink"/>
            <w:i/>
            <w:noProof/>
          </w:rPr>
          <w:t>ServingCellConfigCommon</w:t>
        </w:r>
      </w:hyperlink>
    </w:p>
    <w:p w14:paraId="1385C998"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47" w:history="1">
        <w:r w:rsidRPr="00485192">
          <w:rPr>
            <w:rStyle w:val="Hyperlink"/>
            <w:noProof/>
          </w:rPr>
          <w:t>Proposal 4</w:t>
        </w:r>
        <w:r>
          <w:rPr>
            <w:rFonts w:asciiTheme="minorHAnsi" w:eastAsiaTheme="minorEastAsia" w:hAnsiTheme="minorHAnsi"/>
            <w:b w:val="0"/>
            <w:noProof/>
            <w:lang w:eastAsia="en-US"/>
          </w:rPr>
          <w:tab/>
        </w:r>
        <w:r w:rsidRPr="00485192">
          <w:rPr>
            <w:rStyle w:val="Hyperlink"/>
            <w:noProof/>
          </w:rPr>
          <w:t>Extend the agreement from RAN1#98b on how Q is signaled for RRM measurements for neighbor cells to also include serving cells.</w:t>
        </w:r>
      </w:hyperlink>
    </w:p>
    <w:p w14:paraId="0E937BA7"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48" w:history="1">
        <w:r w:rsidRPr="00485192">
          <w:rPr>
            <w:rStyle w:val="Hyperlink"/>
            <w:noProof/>
          </w:rPr>
          <w:t>Proposal 5</w:t>
        </w:r>
        <w:r>
          <w:rPr>
            <w:rFonts w:asciiTheme="minorHAnsi" w:eastAsiaTheme="minorEastAsia" w:hAnsiTheme="minorHAnsi"/>
            <w:b w:val="0"/>
            <w:noProof/>
            <w:lang w:eastAsia="en-US"/>
          </w:rPr>
          <w:tab/>
        </w:r>
        <w:r w:rsidRPr="00485192">
          <w:rPr>
            <w:rStyle w:val="Hyperlink"/>
            <w:noProof/>
          </w:rPr>
          <w:t>The absence of Q is indicative of that the UE shall apply the Rel-15 method of QCL and timing determination where SS/PBCH blocks do not shift in time. For neighbor cell RRM measurements, the absence of Q in SIB2/SIB4/MeasObjectNR is used as indication.</w:t>
        </w:r>
      </w:hyperlink>
    </w:p>
    <w:p w14:paraId="4AFB6852"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0" w:history="1">
        <w:r w:rsidRPr="00485192">
          <w:rPr>
            <w:rStyle w:val="Hyperlink"/>
            <w:noProof/>
          </w:rPr>
          <w:t>Proposal 6</w:t>
        </w:r>
        <w:r>
          <w:rPr>
            <w:rFonts w:asciiTheme="minorHAnsi" w:eastAsiaTheme="minorEastAsia" w:hAnsiTheme="minorHAnsi"/>
            <w:b w:val="0"/>
            <w:noProof/>
            <w:lang w:eastAsia="en-US"/>
          </w:rPr>
          <w:tab/>
        </w:r>
        <w:r w:rsidRPr="00485192">
          <w:rPr>
            <w:rStyle w:val="Hyperlink"/>
            <w:noProof/>
          </w:rPr>
          <w:t>If Q is unknown to the UE, the UE should monitor every allowed Type0 PDCCH CSS monitoring occasion (in the DRS transmission window) that could be (Q unknown) associated with the SS/PBCH block from which the UE determined that a CORESET for Type0-PDCCH CSS set is present.</w:t>
        </w:r>
      </w:hyperlink>
    </w:p>
    <w:p w14:paraId="29DDE38A"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1" w:history="1">
        <w:r w:rsidRPr="00485192">
          <w:rPr>
            <w:rStyle w:val="Hyperlink"/>
            <w:noProof/>
          </w:rPr>
          <w:t>Proposal 7</w:t>
        </w:r>
        <w:r>
          <w:rPr>
            <w:rFonts w:asciiTheme="minorHAnsi" w:eastAsiaTheme="minorEastAsia" w:hAnsiTheme="minorHAnsi"/>
            <w:b w:val="0"/>
            <w:noProof/>
            <w:lang w:eastAsia="en-US"/>
          </w:rPr>
          <w:tab/>
        </w:r>
        <w:r w:rsidRPr="00485192">
          <w:rPr>
            <w:rStyle w:val="Hyperlink"/>
            <w:noProof/>
          </w:rPr>
          <w:t>For initial access, the UE assumes a default DRS transmission window duration of 5 ms.</w:t>
        </w:r>
      </w:hyperlink>
    </w:p>
    <w:p w14:paraId="406EDF21"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2" w:history="1">
        <w:r w:rsidRPr="00485192">
          <w:rPr>
            <w:rStyle w:val="Hyperlink"/>
            <w:noProof/>
          </w:rPr>
          <w:t>Proposal 8</w:t>
        </w:r>
        <w:r>
          <w:rPr>
            <w:rFonts w:asciiTheme="minorHAnsi" w:eastAsiaTheme="minorEastAsia" w:hAnsiTheme="minorHAnsi"/>
            <w:b w:val="0"/>
            <w:noProof/>
            <w:lang w:eastAsia="en-US"/>
          </w:rPr>
          <w:tab/>
        </w:r>
        <w:r w:rsidRPr="00485192">
          <w:rPr>
            <w:rStyle w:val="Hyperlink"/>
            <w:noProof/>
          </w:rPr>
          <w:t>RAN1 to agree on the following terminology to be used consistently across RAN1 (and RAN2/RAN4) specifications for operation with shared spectrum channel access: - Candidate SS/PBCH block index as previously agreed in RAN1 - SS/PBCH block index = modulo(A, Q)</w:t>
        </w:r>
      </w:hyperlink>
    </w:p>
    <w:p w14:paraId="7872BF17"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3" w:history="1">
        <w:r w:rsidRPr="00485192">
          <w:rPr>
            <w:rStyle w:val="Hyperlink"/>
            <w:noProof/>
            <w:lang w:val="en-GB"/>
          </w:rPr>
          <w:t>Proposal 9</w:t>
        </w:r>
        <w:r>
          <w:rPr>
            <w:rFonts w:asciiTheme="minorHAnsi" w:eastAsiaTheme="minorEastAsia" w:hAnsiTheme="minorHAnsi"/>
            <w:b w:val="0"/>
            <w:noProof/>
            <w:lang w:eastAsia="en-US"/>
          </w:rPr>
          <w:tab/>
        </w:r>
        <w:r w:rsidRPr="00485192">
          <w:rPr>
            <w:rStyle w:val="Hyperlink"/>
            <w:noProof/>
            <w:lang w:val="en-GB"/>
          </w:rPr>
          <w:t xml:space="preserve">For operation with shared spectrum channel access, </w:t>
        </w:r>
        <m:oMath>
          <m:r>
            <m:rPr>
              <m:sty m:val="b"/>
            </m:rPr>
            <w:rPr>
              <w:rStyle w:val="Hyperlink"/>
              <w:rFonts w:ascii="Cambria Math"/>
              <w:noProof/>
              <w:lang w:val="en-GB"/>
            </w:rPr>
            <m:t>Lmax</m:t>
          </m:r>
        </m:oMath>
        <w:r w:rsidRPr="00485192">
          <w:rPr>
            <w:rStyle w:val="Hyperlink"/>
            <w:noProof/>
            <w:lang w:val="en-GB"/>
          </w:rPr>
          <w:t xml:space="preserve"> is equal to 8 when operating in 5 GHz and 6 GHz bands.</w:t>
        </w:r>
      </w:hyperlink>
    </w:p>
    <w:p w14:paraId="6519C7D8"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4" w:history="1">
        <w:r w:rsidRPr="00485192">
          <w:rPr>
            <w:rStyle w:val="Hyperlink"/>
            <w:noProof/>
          </w:rPr>
          <w:t>Proposal 10</w:t>
        </w:r>
        <w:r>
          <w:rPr>
            <w:rFonts w:asciiTheme="minorHAnsi" w:eastAsiaTheme="minorEastAsia" w:hAnsiTheme="minorHAnsi"/>
            <w:b w:val="0"/>
            <w:noProof/>
            <w:lang w:eastAsia="en-US"/>
          </w:rPr>
          <w:tab/>
        </w:r>
        <w:r w:rsidRPr="00485192">
          <w:rPr>
            <w:rStyle w:val="Hyperlink"/>
            <w:noProof/>
          </w:rPr>
          <w:t>If Q is not indicated to the UE, the SS/PBCH block index is defined as in Rel-15, i.e. equal to the candidate SS/PBCH block index (which is limited to the range 0 .. 7).</w:t>
        </w:r>
      </w:hyperlink>
    </w:p>
    <w:p w14:paraId="2914984A"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5" w:history="1">
        <w:r w:rsidRPr="00485192">
          <w:rPr>
            <w:rStyle w:val="Hyperlink"/>
            <w:noProof/>
          </w:rPr>
          <w:t>Proposal 11</w:t>
        </w:r>
        <w:r>
          <w:rPr>
            <w:rFonts w:asciiTheme="minorHAnsi" w:eastAsiaTheme="minorEastAsia" w:hAnsiTheme="minorHAnsi"/>
            <w:b w:val="0"/>
            <w:noProof/>
            <w:lang w:eastAsia="en-US"/>
          </w:rPr>
          <w:tab/>
        </w:r>
        <w:r w:rsidRPr="00485192">
          <w:rPr>
            <w:rStyle w:val="Hyperlink"/>
            <w:noProof/>
            <w:lang w:val="en-GB"/>
          </w:rPr>
          <w:t>Send an LS to RAN2 informing them of the SS/PBCH block index definition for operation with shared channel access and asking them to modify the procedures for SI message and paging reception appropriately.</w:t>
        </w:r>
      </w:hyperlink>
    </w:p>
    <w:p w14:paraId="16231B2A"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6" w:history="1">
        <w:r w:rsidRPr="00485192">
          <w:rPr>
            <w:rStyle w:val="Hyperlink"/>
            <w:noProof/>
          </w:rPr>
          <w:t>Proposal 12</w:t>
        </w:r>
        <w:r>
          <w:rPr>
            <w:rFonts w:asciiTheme="minorHAnsi" w:eastAsiaTheme="minorEastAsia" w:hAnsiTheme="minorHAnsi"/>
            <w:b w:val="0"/>
            <w:noProof/>
            <w:lang w:eastAsia="en-US"/>
          </w:rPr>
          <w:tab/>
        </w:r>
        <w:r w:rsidRPr="00485192">
          <w:rPr>
            <w:rStyle w:val="Hyperlink"/>
            <w:noProof/>
          </w:rPr>
          <w:t xml:space="preserve">For procedures related to reception or transmission restrictions, </w:t>
        </w:r>
        <w:r w:rsidRPr="00485192">
          <w:rPr>
            <w:rStyle w:val="Hyperlink"/>
            <w:i/>
            <w:noProof/>
          </w:rPr>
          <w:t>ssb-PositionsInBurst</w:t>
        </w:r>
        <w:r w:rsidRPr="00485192">
          <w:rPr>
            <w:rStyle w:val="Hyperlink"/>
            <w:noProof/>
          </w:rPr>
          <w:t xml:space="preserve"> indicates candidate SS/PBCH block positions starting at 0 and ending at 7. For candidate SS/PBCH block positions index greater than or equal to 8, the UE assumes the corresponding candidate SS/PBCH block positions not be indicated (i.e. a zero is assumed).</w:t>
        </w:r>
      </w:hyperlink>
    </w:p>
    <w:p w14:paraId="5BD5CA49"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7" w:history="1">
        <w:r w:rsidRPr="00485192">
          <w:rPr>
            <w:rStyle w:val="Hyperlink"/>
            <w:noProof/>
          </w:rPr>
          <w:t>Proposal 13</w:t>
        </w:r>
        <w:r>
          <w:rPr>
            <w:rFonts w:asciiTheme="minorHAnsi" w:eastAsiaTheme="minorEastAsia" w:hAnsiTheme="minorHAnsi"/>
            <w:b w:val="0"/>
            <w:noProof/>
            <w:lang w:eastAsia="en-US"/>
          </w:rPr>
          <w:tab/>
        </w:r>
        <w:r w:rsidRPr="00485192">
          <w:rPr>
            <w:rStyle w:val="Hyperlink"/>
            <w:noProof/>
          </w:rPr>
          <w:t xml:space="preserve">Any PRACH occasion that overlaps with the DRS transmission window (if </w:t>
        </w:r>
        <w:r w:rsidRPr="00485192">
          <w:rPr>
            <w:rStyle w:val="Hyperlink"/>
            <w:i/>
            <w:noProof/>
          </w:rPr>
          <w:t>DRS-WindowLength-</w:t>
        </w:r>
        <w:r w:rsidRPr="00485192">
          <w:rPr>
            <w:rStyle w:val="Hyperlink"/>
            <w:noProof/>
          </w:rPr>
          <w:t>r16 is configured) shall be considered invalid.</w:t>
        </w:r>
      </w:hyperlink>
    </w:p>
    <w:p w14:paraId="33BE3CEB"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8" w:history="1">
        <w:r w:rsidRPr="00485192">
          <w:rPr>
            <w:rStyle w:val="Hyperlink"/>
            <w:noProof/>
          </w:rPr>
          <w:t>Proposal 14</w:t>
        </w:r>
        <w:r>
          <w:rPr>
            <w:rFonts w:asciiTheme="minorHAnsi" w:eastAsiaTheme="minorEastAsia" w:hAnsiTheme="minorHAnsi"/>
            <w:b w:val="0"/>
            <w:noProof/>
            <w:lang w:eastAsia="en-US"/>
          </w:rPr>
          <w:tab/>
        </w:r>
        <w:r w:rsidRPr="00485192">
          <w:rPr>
            <w:rStyle w:val="Hyperlink"/>
            <w:noProof/>
          </w:rPr>
          <w:t>Scheduling of PRACH resources via DCI should not be supported in Rel-16.</w:t>
        </w:r>
      </w:hyperlink>
    </w:p>
    <w:p w14:paraId="2433DA84"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59" w:history="1">
        <w:r w:rsidRPr="00485192">
          <w:rPr>
            <w:rStyle w:val="Hyperlink"/>
            <w:noProof/>
          </w:rPr>
          <w:t>Proposal 15</w:t>
        </w:r>
        <w:r>
          <w:rPr>
            <w:rFonts w:asciiTheme="minorHAnsi" w:eastAsiaTheme="minorEastAsia" w:hAnsiTheme="minorHAnsi"/>
            <w:b w:val="0"/>
            <w:noProof/>
            <w:lang w:eastAsia="en-US"/>
          </w:rPr>
          <w:tab/>
        </w:r>
        <w:r w:rsidRPr="00485192">
          <w:rPr>
            <w:rStyle w:val="Hyperlink"/>
            <w:noProof/>
          </w:rPr>
          <w:t>The LBT indication corresponding to the UL control signal is signaled in the DCI triggering the UL control signal transmission. The LBT indication is included in:  - DCI format 1_0 scrambled with RA-RNTI carrying the DL assignments for reception of the RAR messages (Msg2). The LBT type is applicable to Msg 3 transmission  -  DCI format 1_0 and 1_1 scrambled with C-RNTI carrying the DL assignments. The LBT type is applicable to the UL control signal transmission triggered by the DCI.</w:t>
        </w:r>
      </w:hyperlink>
    </w:p>
    <w:p w14:paraId="7452B6F1"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0" w:history="1">
        <w:r w:rsidRPr="00485192">
          <w:rPr>
            <w:rStyle w:val="Hyperlink"/>
            <w:noProof/>
          </w:rPr>
          <w:t>Proposal 16</w:t>
        </w:r>
        <w:r>
          <w:rPr>
            <w:rFonts w:asciiTheme="minorHAnsi" w:eastAsiaTheme="minorEastAsia" w:hAnsiTheme="minorHAnsi"/>
            <w:b w:val="0"/>
            <w:noProof/>
            <w:lang w:eastAsia="en-US"/>
          </w:rPr>
          <w:tab/>
        </w:r>
        <w:r w:rsidRPr="00485192">
          <w:rPr>
            <w:rStyle w:val="Hyperlink"/>
            <w:noProof/>
          </w:rPr>
          <w:t>Inform RAN2 that the LBT category for msg 3 transmission is provided to the UE in the DCI carrying DL assignments for the RAR messages and that no further action is required by RAN2 on this matter.</w:t>
        </w:r>
      </w:hyperlink>
    </w:p>
    <w:p w14:paraId="24413636"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1" w:history="1">
        <w:r w:rsidRPr="00485192">
          <w:rPr>
            <w:rStyle w:val="Hyperlink"/>
            <w:noProof/>
          </w:rPr>
          <w:t>Proposal 17</w:t>
        </w:r>
        <w:r>
          <w:rPr>
            <w:rFonts w:asciiTheme="minorHAnsi" w:eastAsiaTheme="minorEastAsia" w:hAnsiTheme="minorHAnsi"/>
            <w:b w:val="0"/>
            <w:noProof/>
            <w:lang w:eastAsia="en-US"/>
          </w:rPr>
          <w:tab/>
        </w:r>
        <w:r w:rsidRPr="00485192">
          <w:rPr>
            <w:rStyle w:val="Hyperlink"/>
            <w:noProof/>
          </w:rPr>
          <w:t>2 LSBs of SFN are included in DCI format 1_0 with CRC scrambled with RA-RNTI carrying the DL assignments for reception of the RAR messages (Msg2)</w:t>
        </w:r>
      </w:hyperlink>
    </w:p>
    <w:p w14:paraId="74C9766D"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2" w:history="1">
        <w:r w:rsidRPr="00485192">
          <w:rPr>
            <w:rStyle w:val="Hyperlink"/>
            <w:noProof/>
          </w:rPr>
          <w:t>Proposal 18</w:t>
        </w:r>
        <w:r>
          <w:rPr>
            <w:rFonts w:asciiTheme="minorHAnsi" w:eastAsiaTheme="minorEastAsia" w:hAnsiTheme="minorHAnsi"/>
            <w:b w:val="0"/>
            <w:noProof/>
            <w:lang w:eastAsia="en-US"/>
          </w:rPr>
          <w:tab/>
        </w:r>
        <w:r w:rsidRPr="00485192">
          <w:rPr>
            <w:rStyle w:val="Hyperlink"/>
            <w:noProof/>
          </w:rPr>
          <w:t>The Rel-15 SMTC window can be used “as is,” for configuring RRM measurement windows even when the SS/PBCH blocks shift in time due to LBT failures.</w:t>
        </w:r>
      </w:hyperlink>
    </w:p>
    <w:p w14:paraId="6FD1385E"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3" w:history="1">
        <w:r w:rsidRPr="00485192">
          <w:rPr>
            <w:rStyle w:val="Hyperlink"/>
            <w:noProof/>
          </w:rPr>
          <w:t>Proposal 19</w:t>
        </w:r>
        <w:r>
          <w:rPr>
            <w:rFonts w:asciiTheme="minorHAnsi" w:eastAsiaTheme="minorEastAsia" w:hAnsiTheme="minorHAnsi"/>
            <w:b w:val="0"/>
            <w:noProof/>
            <w:lang w:eastAsia="en-US"/>
          </w:rPr>
          <w:tab/>
        </w:r>
        <w:r w:rsidRPr="00485192">
          <w:rPr>
            <w:rStyle w:val="Hyperlink"/>
            <w:noProof/>
          </w:rPr>
          <w:t>Measurement ARFCN is provided also for intra-frequency measurements and the provided ARFCN (for both intra- and inter-frequency) is located in the middle of the measurement bandwidth.</w:t>
        </w:r>
      </w:hyperlink>
    </w:p>
    <w:p w14:paraId="486C6941"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4" w:history="1">
        <w:r w:rsidRPr="00485192">
          <w:rPr>
            <w:rStyle w:val="Hyperlink"/>
            <w:noProof/>
          </w:rPr>
          <w:t>Proposal 20</w:t>
        </w:r>
        <w:r>
          <w:rPr>
            <w:rFonts w:asciiTheme="minorHAnsi" w:eastAsiaTheme="minorEastAsia" w:hAnsiTheme="minorHAnsi"/>
            <w:b w:val="0"/>
            <w:noProof/>
            <w:lang w:eastAsia="en-US"/>
          </w:rPr>
          <w:tab/>
        </w:r>
        <w:r w:rsidRPr="00485192">
          <w:rPr>
            <w:rStyle w:val="Hyperlink"/>
            <w:noProof/>
          </w:rPr>
          <w:t>No other measurement bandwidth units (apart from units of “LBT bandwidths”) are necessary.</w:t>
        </w:r>
      </w:hyperlink>
    </w:p>
    <w:p w14:paraId="020ECD3E"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5" w:history="1">
        <w:r w:rsidRPr="00485192">
          <w:rPr>
            <w:rStyle w:val="Hyperlink"/>
            <w:noProof/>
          </w:rPr>
          <w:t>Proposal 21</w:t>
        </w:r>
        <w:r>
          <w:rPr>
            <w:rFonts w:asciiTheme="minorHAnsi" w:eastAsiaTheme="minorEastAsia" w:hAnsiTheme="minorHAnsi"/>
            <w:b w:val="0"/>
            <w:noProof/>
            <w:lang w:eastAsia="en-US"/>
          </w:rPr>
          <w:tab/>
        </w:r>
        <w:r w:rsidRPr="00485192">
          <w:rPr>
            <w:rStyle w:val="Hyperlink"/>
            <w:noProof/>
          </w:rPr>
          <w:t>Mechanism to handle missing RLM-RS is up to RAN4 to decide.</w:t>
        </w:r>
      </w:hyperlink>
    </w:p>
    <w:p w14:paraId="0CE462D9" w14:textId="77777777" w:rsidR="007924F9" w:rsidRDefault="007924F9">
      <w:pPr>
        <w:pStyle w:val="TableofFigures"/>
        <w:tabs>
          <w:tab w:val="right" w:leader="dot" w:pos="9629"/>
        </w:tabs>
        <w:rPr>
          <w:rFonts w:asciiTheme="minorHAnsi" w:eastAsiaTheme="minorEastAsia" w:hAnsiTheme="minorHAnsi"/>
          <w:b w:val="0"/>
          <w:noProof/>
          <w:lang w:eastAsia="en-US"/>
        </w:rPr>
      </w:pPr>
      <w:hyperlink w:anchor="_Toc24104666" w:history="1">
        <w:r w:rsidRPr="00485192">
          <w:rPr>
            <w:rStyle w:val="Hyperlink"/>
            <w:noProof/>
          </w:rPr>
          <w:t>Proposal 22</w:t>
        </w:r>
        <w:r>
          <w:rPr>
            <w:rFonts w:asciiTheme="minorHAnsi" w:eastAsiaTheme="minorEastAsia" w:hAnsiTheme="minorHAnsi"/>
            <w:b w:val="0"/>
            <w:noProof/>
            <w:lang w:eastAsia="en-US"/>
          </w:rPr>
          <w:tab/>
        </w:r>
        <w:r w:rsidRPr="00485192">
          <w:rPr>
            <w:rStyle w:val="Hyperlink"/>
            <w:noProof/>
          </w:rPr>
          <w:t>Focus RAN1’s efforts on SS/PBCH block based RLM before discussing mechanisms for including additional detected RLM-RS (such as aperiodic CSI-RS) in the evaluation.</w:t>
        </w:r>
      </w:hyperlink>
    </w:p>
    <w:p w14:paraId="2B6F8A77" w14:textId="4E6C3B6A" w:rsidR="006E1C82" w:rsidRPr="001C585A" w:rsidRDefault="006E1C82" w:rsidP="006E1C82">
      <w:pPr>
        <w:pStyle w:val="BodyText"/>
        <w:rPr>
          <w:b/>
          <w:bCs/>
        </w:rPr>
      </w:pPr>
      <w:r w:rsidRPr="00BE017E">
        <w:rPr>
          <w:b/>
          <w:bCs/>
        </w:rPr>
        <w:fldChar w:fldCharType="end"/>
      </w:r>
      <w:r w:rsidRPr="001C585A">
        <w:rPr>
          <w:b/>
          <w:bCs/>
        </w:rPr>
        <w:t xml:space="preserve"> </w:t>
      </w:r>
    </w:p>
    <w:p w14:paraId="1C60C93A" w14:textId="051425ED" w:rsidR="00F507D1" w:rsidRPr="00321409" w:rsidRDefault="00A23E24" w:rsidP="00CE0424">
      <w:pPr>
        <w:pStyle w:val="Heading1"/>
        <w:rPr>
          <w:lang w:val="en-US"/>
        </w:rPr>
      </w:pPr>
      <w:bookmarkStart w:id="95" w:name="_In-sequence_SDU_delivery"/>
      <w:bookmarkEnd w:id="95"/>
      <w:r>
        <w:rPr>
          <w:lang w:val="en-US"/>
        </w:rPr>
        <w:t>8</w:t>
      </w:r>
      <w:r w:rsidR="001B3014" w:rsidRPr="00321409">
        <w:rPr>
          <w:lang w:val="en-US"/>
        </w:rPr>
        <w:t xml:space="preserve"> </w:t>
      </w:r>
      <w:r w:rsidR="00F507D1" w:rsidRPr="00321409">
        <w:rPr>
          <w:lang w:val="en-US"/>
        </w:rPr>
        <w:t>References</w:t>
      </w:r>
    </w:p>
    <w:p w14:paraId="47AC1683" w14:textId="69B01F9A" w:rsidR="00A76126" w:rsidRPr="00B214A6" w:rsidRDefault="00A76126" w:rsidP="00C2355C">
      <w:pPr>
        <w:pStyle w:val="Reference"/>
      </w:pPr>
      <w:bookmarkStart w:id="96" w:name="_Ref534117348"/>
      <w:bookmarkStart w:id="97" w:name="_Ref3880330"/>
      <w:r w:rsidRPr="001C585A">
        <w:t>3GPP TR 38.889, “Study on NR-based access to unlicensed spectrum,” v16.0.0, December 2018.</w:t>
      </w:r>
      <w:bookmarkEnd w:id="96"/>
    </w:p>
    <w:p w14:paraId="04C45B56" w14:textId="0CE8CD34" w:rsidR="00923B23" w:rsidRPr="001C585A" w:rsidRDefault="00AE7F1D">
      <w:pPr>
        <w:pStyle w:val="Reference"/>
      </w:pPr>
      <w:bookmarkStart w:id="98" w:name="_Ref20919537"/>
      <w:r w:rsidRPr="00AE7F1D">
        <w:t>R1-1912707</w:t>
      </w:r>
      <w:r w:rsidR="00923B23" w:rsidRPr="001C585A">
        <w:t>, “</w:t>
      </w:r>
      <w:r w:rsidR="0037789E" w:rsidRPr="0037789E">
        <w:t>DL signals and channels for NR-U</w:t>
      </w:r>
      <w:r w:rsidR="00923B23" w:rsidRPr="001C585A">
        <w:t>”, Ericsson, RAN1#</w:t>
      </w:r>
      <w:r w:rsidR="006F5E40" w:rsidRPr="001C585A">
        <w:t>9</w:t>
      </w:r>
      <w:r w:rsidR="006F5E40">
        <w:t>9</w:t>
      </w:r>
      <w:r w:rsidR="00923B23" w:rsidRPr="001C585A">
        <w:t xml:space="preserve">, </w:t>
      </w:r>
      <w:r>
        <w:t>November</w:t>
      </w:r>
      <w:r w:rsidRPr="001C585A">
        <w:t xml:space="preserve"> </w:t>
      </w:r>
      <w:r w:rsidR="00923B23" w:rsidRPr="001C585A">
        <w:t>2019.</w:t>
      </w:r>
      <w:bookmarkEnd w:id="97"/>
      <w:bookmarkEnd w:id="98"/>
    </w:p>
    <w:p w14:paraId="67864CD2" w14:textId="0151BA59" w:rsidR="00100D3B" w:rsidRDefault="00100D3B">
      <w:pPr>
        <w:pStyle w:val="Reference"/>
      </w:pPr>
      <w:bookmarkStart w:id="99" w:name="_Ref16172201"/>
      <w:r>
        <w:t>RP-191581, “</w:t>
      </w:r>
      <w:r w:rsidRPr="003D3350">
        <w:rPr>
          <w:rFonts w:eastAsia="SimSun" w:cs="Arial"/>
          <w:bCs/>
        </w:rPr>
        <w:t>Guidance on essential functionality for NR-U</w:t>
      </w:r>
      <w:r>
        <w:rPr>
          <w:rFonts w:eastAsia="SimSun" w:cs="Arial"/>
          <w:bCs/>
        </w:rPr>
        <w:t>,</w:t>
      </w:r>
      <w:r>
        <w:t>” RAN, RAN#84, June 2019.</w:t>
      </w:r>
      <w:bookmarkEnd w:id="99"/>
    </w:p>
    <w:p w14:paraId="36C6141F" w14:textId="519CB69F" w:rsidR="006B6D82" w:rsidRDefault="006B6D82">
      <w:pPr>
        <w:pStyle w:val="Reference"/>
      </w:pPr>
      <w:bookmarkStart w:id="100" w:name="_Ref16686268"/>
      <w:r>
        <w:t xml:space="preserve">RP-190263, “Status report to TSG: </w:t>
      </w:r>
      <w:r w:rsidRPr="006B6D82">
        <w:t>Cross Link Interference (CLI) handling and Remote Interference Management (RIM) for NR</w:t>
      </w:r>
      <w:r>
        <w:t>”, RAN#83, March 2019</w:t>
      </w:r>
      <w:bookmarkEnd w:id="100"/>
    </w:p>
    <w:p w14:paraId="0416D3B2" w14:textId="4AEE367A" w:rsidR="006B6D82" w:rsidRDefault="006B6D82" w:rsidP="004E1311">
      <w:pPr>
        <w:pStyle w:val="Reference"/>
      </w:pPr>
      <w:bookmarkStart w:id="101" w:name="_Ref16686270"/>
      <w:r>
        <w:t xml:space="preserve">RP-191291, ““Status report to TSG: </w:t>
      </w:r>
      <w:r w:rsidRPr="006B6D82">
        <w:t>Cross Link Interference (CLI) handling and Remote Interference Management (RIM) for NR</w:t>
      </w:r>
      <w:r>
        <w:t>”, RAN#84, June 2019</w:t>
      </w:r>
      <w:bookmarkEnd w:id="101"/>
    </w:p>
    <w:p w14:paraId="2FACB84B" w14:textId="4FD59491" w:rsidR="00937530" w:rsidRPr="000C154B" w:rsidRDefault="00003D12" w:rsidP="004E1311">
      <w:pPr>
        <w:pStyle w:val="Reference"/>
      </w:pPr>
      <w:bookmarkStart w:id="102" w:name="_Ref16772232"/>
      <w:r w:rsidRPr="00003D12">
        <w:t>R4-1915248</w:t>
      </w:r>
      <w:r w:rsidR="00937530">
        <w:t>, “</w:t>
      </w:r>
      <w:r w:rsidR="00937530">
        <w:rPr>
          <w:rFonts w:cs="Arial"/>
        </w:rPr>
        <w:t>On RLM in NR-U”, RAN4#</w:t>
      </w:r>
      <w:r w:rsidR="00AE7F1D">
        <w:rPr>
          <w:rFonts w:cs="Arial"/>
        </w:rPr>
        <w:t>93</w:t>
      </w:r>
      <w:r w:rsidR="00937530">
        <w:rPr>
          <w:rFonts w:cs="Arial"/>
        </w:rPr>
        <w:t xml:space="preserve">, </w:t>
      </w:r>
      <w:r w:rsidR="00AE7F1D">
        <w:rPr>
          <w:rFonts w:cs="Arial"/>
        </w:rPr>
        <w:t xml:space="preserve">November </w:t>
      </w:r>
      <w:r w:rsidR="00937530">
        <w:rPr>
          <w:rFonts w:cs="Arial"/>
        </w:rPr>
        <w:t>2019</w:t>
      </w:r>
      <w:bookmarkEnd w:id="102"/>
    </w:p>
    <w:p w14:paraId="09621E2E" w14:textId="0BCC9733" w:rsidR="00017128" w:rsidRDefault="00AE7F1D" w:rsidP="004E1311">
      <w:pPr>
        <w:pStyle w:val="Reference"/>
      </w:pPr>
      <w:bookmarkStart w:id="103" w:name="_Ref20829883"/>
      <w:r w:rsidRPr="00ED20EF">
        <w:t>R1-1912709</w:t>
      </w:r>
      <w:r w:rsidR="00095896">
        <w:t>, “</w:t>
      </w:r>
      <w:r w:rsidR="00672EA5" w:rsidRPr="0097550B">
        <w:t>Channel access procedures</w:t>
      </w:r>
      <w:r w:rsidR="00672EA5">
        <w:t>”</w:t>
      </w:r>
      <w:r w:rsidR="00581E78">
        <w:t>, RAN1#</w:t>
      </w:r>
      <w:r w:rsidR="00A83C1A">
        <w:t>99</w:t>
      </w:r>
      <w:r w:rsidR="00923013">
        <w:t xml:space="preserve">, </w:t>
      </w:r>
      <w:r w:rsidR="00A83C1A">
        <w:t xml:space="preserve">November </w:t>
      </w:r>
      <w:r w:rsidR="00923013">
        <w:t>2019</w:t>
      </w:r>
      <w:bookmarkEnd w:id="103"/>
    </w:p>
    <w:p w14:paraId="563907CD" w14:textId="151FEEEC" w:rsidR="00A73535" w:rsidRDefault="00AE7F1D" w:rsidP="004E1311">
      <w:pPr>
        <w:pStyle w:val="Reference"/>
      </w:pPr>
      <w:bookmarkStart w:id="104" w:name="_Ref21348962"/>
      <w:r w:rsidRPr="00AE7F1D">
        <w:t>R1-1912708</w:t>
      </w:r>
      <w:r w:rsidR="00A73535">
        <w:t>, “UL signals and channels”, RAN1#</w:t>
      </w:r>
      <w:r w:rsidR="00A83C1A">
        <w:t>99</w:t>
      </w:r>
      <w:r w:rsidR="00A73535">
        <w:t xml:space="preserve">, </w:t>
      </w:r>
      <w:r w:rsidR="00A83C1A">
        <w:t xml:space="preserve">November </w:t>
      </w:r>
      <w:r w:rsidR="00A73535">
        <w:t>2019</w:t>
      </w:r>
      <w:bookmarkEnd w:id="104"/>
    </w:p>
    <w:p w14:paraId="04DED36C" w14:textId="7CE27E4F" w:rsidR="001D3C27" w:rsidRDefault="003622FA" w:rsidP="004E1311">
      <w:pPr>
        <w:pStyle w:val="Reference"/>
      </w:pPr>
      <w:bookmarkStart w:id="105" w:name="_Ref23158702"/>
      <w:r w:rsidRPr="003622FA">
        <w:t>R1-1912706</w:t>
      </w:r>
      <w:r w:rsidR="001D3C27">
        <w:t>, “</w:t>
      </w:r>
      <w:r w:rsidR="001D3C27" w:rsidRPr="001D3C27">
        <w:t>Initial access signals and channels</w:t>
      </w:r>
      <w:r w:rsidR="001D3C27">
        <w:t>”, RAN1#99, November 2019</w:t>
      </w:r>
      <w:bookmarkEnd w:id="105"/>
    </w:p>
    <w:p w14:paraId="1135A98B" w14:textId="2B160F3D" w:rsidR="00FA3FFF" w:rsidRDefault="00FA3FFF" w:rsidP="004E1311">
      <w:pPr>
        <w:pStyle w:val="Reference"/>
      </w:pPr>
      <w:bookmarkStart w:id="106" w:name="_Ref23330569"/>
      <w:r w:rsidRPr="003622FA">
        <w:t>R2-</w:t>
      </w:r>
      <w:r w:rsidR="003622FA" w:rsidRPr="00ED20EF">
        <w:t>1914648</w:t>
      </w:r>
      <w:r w:rsidRPr="003622FA">
        <w:t>, “RRM for NR-U”,</w:t>
      </w:r>
      <w:r>
        <w:t xml:space="preserve"> RAN2#108, November 2019</w:t>
      </w:r>
      <w:bookmarkEnd w:id="106"/>
    </w:p>
    <w:p w14:paraId="4EADA8F4" w14:textId="3EF6317E" w:rsidR="005101B9" w:rsidRDefault="005101B9" w:rsidP="004E1311">
      <w:pPr>
        <w:pStyle w:val="Reference"/>
      </w:pPr>
      <w:bookmarkStart w:id="107" w:name="_Ref23765939"/>
      <w:r w:rsidRPr="005101B9">
        <w:t>R1-1911722</w:t>
      </w:r>
      <w:r>
        <w:t>, “</w:t>
      </w:r>
      <w:r w:rsidRPr="005101B9">
        <w:t>Summary of RRC parameters for NR-U up to RAN1</w:t>
      </w:r>
      <w:r>
        <w:t>”, RAN1#99, November 2019</w:t>
      </w:r>
      <w:bookmarkEnd w:id="107"/>
    </w:p>
    <w:p w14:paraId="05D572AA" w14:textId="3D92B979" w:rsidR="00530887" w:rsidRDefault="00530887" w:rsidP="004E1311">
      <w:pPr>
        <w:pStyle w:val="Reference"/>
      </w:pPr>
      <w:r>
        <w:t>R2-1914064, “</w:t>
      </w:r>
      <w:r w:rsidRPr="00530887">
        <w:t>LS on SFN LSB indication in msg2/</w:t>
      </w:r>
      <w:proofErr w:type="spellStart"/>
      <w:r w:rsidRPr="00530887">
        <w:t>msgB</w:t>
      </w:r>
      <w:proofErr w:type="spellEnd"/>
      <w:r>
        <w:t>”, RAN2#107b, October 2019</w:t>
      </w:r>
    </w:p>
    <w:p w14:paraId="40E239A3" w14:textId="1B4FAD03" w:rsidR="00B35DBF" w:rsidRPr="001C585A" w:rsidRDefault="00B35DBF" w:rsidP="004E1311">
      <w:pPr>
        <w:pStyle w:val="Reference"/>
      </w:pPr>
      <w:bookmarkStart w:id="108" w:name="_Ref24100465"/>
      <w:r>
        <w:t>R1-1912672, “</w:t>
      </w:r>
      <w:r w:rsidRPr="00CB7C82">
        <w:rPr>
          <w:rFonts w:cs="Arial"/>
        </w:rPr>
        <w:t>Procedure for Two-step RACH</w:t>
      </w:r>
      <w:r>
        <w:t>”, RAN1#99, November 2019</w:t>
      </w:r>
      <w:bookmarkEnd w:id="108"/>
    </w:p>
    <w:sectPr w:rsidR="00B35DBF" w:rsidRPr="001C585A"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FBF1D" w14:textId="77777777" w:rsidR="00933887" w:rsidRDefault="00933887">
      <w:r>
        <w:separator/>
      </w:r>
    </w:p>
  </w:endnote>
  <w:endnote w:type="continuationSeparator" w:id="0">
    <w:p w14:paraId="1BAA08D2" w14:textId="77777777" w:rsidR="00933887" w:rsidRDefault="00933887">
      <w:r>
        <w:continuationSeparator/>
      </w:r>
    </w:p>
  </w:endnote>
  <w:endnote w:type="continuationNotice" w:id="1">
    <w:p w14:paraId="40F77843" w14:textId="77777777" w:rsidR="00933887" w:rsidRDefault="00933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ED20EF" w:rsidRDefault="00ED20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A6033" w14:textId="77777777" w:rsidR="00933887" w:rsidRDefault="00933887">
      <w:r>
        <w:separator/>
      </w:r>
    </w:p>
  </w:footnote>
  <w:footnote w:type="continuationSeparator" w:id="0">
    <w:p w14:paraId="28724A00" w14:textId="77777777" w:rsidR="00933887" w:rsidRDefault="00933887">
      <w:r>
        <w:continuationSeparator/>
      </w:r>
    </w:p>
  </w:footnote>
  <w:footnote w:type="continuationNotice" w:id="1">
    <w:p w14:paraId="2B024B9B" w14:textId="77777777" w:rsidR="00933887" w:rsidRDefault="009338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ED20EF" w:rsidRDefault="00ED20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996D4B0"/>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3A61ABD"/>
    <w:multiLevelType w:val="hybridMultilevel"/>
    <w:tmpl w:val="0C16170C"/>
    <w:lvl w:ilvl="0" w:tplc="FE685F3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cs="Times New Roman" w:hint="default"/>
      </w:rPr>
    </w:lvl>
    <w:lvl w:ilvl="1" w:tplc="7EF050AE">
      <w:start w:val="156"/>
      <w:numFmt w:val="bullet"/>
      <w:lvlText w:val="◦"/>
      <w:lvlJc w:val="left"/>
      <w:pPr>
        <w:tabs>
          <w:tab w:val="num" w:pos="1440"/>
        </w:tabs>
        <w:ind w:left="1440" w:hanging="360"/>
      </w:pPr>
      <w:rPr>
        <w:rFonts w:ascii="Microsoft Sans Serif" w:hAnsi="Microsoft Sans Serif" w:cs="Times New Roman" w:hint="default"/>
      </w:rPr>
    </w:lvl>
    <w:lvl w:ilvl="2" w:tplc="BC34C6FA">
      <w:start w:val="1"/>
      <w:numFmt w:val="bullet"/>
      <w:lvlText w:val="•"/>
      <w:lvlJc w:val="left"/>
      <w:pPr>
        <w:tabs>
          <w:tab w:val="num" w:pos="2160"/>
        </w:tabs>
        <w:ind w:left="2160" w:hanging="360"/>
      </w:pPr>
      <w:rPr>
        <w:rFonts w:ascii="Arial" w:hAnsi="Arial" w:cs="Times New Roman" w:hint="default"/>
      </w:rPr>
    </w:lvl>
    <w:lvl w:ilvl="3" w:tplc="1548D49C">
      <w:start w:val="1"/>
      <w:numFmt w:val="bullet"/>
      <w:lvlText w:val="•"/>
      <w:lvlJc w:val="left"/>
      <w:pPr>
        <w:tabs>
          <w:tab w:val="num" w:pos="2880"/>
        </w:tabs>
        <w:ind w:left="2880" w:hanging="360"/>
      </w:pPr>
      <w:rPr>
        <w:rFonts w:ascii="Arial" w:hAnsi="Arial" w:cs="Times New Roman" w:hint="default"/>
      </w:rPr>
    </w:lvl>
    <w:lvl w:ilvl="4" w:tplc="EADC83F2">
      <w:start w:val="1"/>
      <w:numFmt w:val="bullet"/>
      <w:lvlText w:val="•"/>
      <w:lvlJc w:val="left"/>
      <w:pPr>
        <w:tabs>
          <w:tab w:val="num" w:pos="3600"/>
        </w:tabs>
        <w:ind w:left="3600" w:hanging="360"/>
      </w:pPr>
      <w:rPr>
        <w:rFonts w:ascii="Arial" w:hAnsi="Arial" w:cs="Times New Roman" w:hint="default"/>
      </w:rPr>
    </w:lvl>
    <w:lvl w:ilvl="5" w:tplc="7E1A0940">
      <w:start w:val="1"/>
      <w:numFmt w:val="bullet"/>
      <w:lvlText w:val="•"/>
      <w:lvlJc w:val="left"/>
      <w:pPr>
        <w:tabs>
          <w:tab w:val="num" w:pos="4320"/>
        </w:tabs>
        <w:ind w:left="4320" w:hanging="360"/>
      </w:pPr>
      <w:rPr>
        <w:rFonts w:ascii="Arial" w:hAnsi="Arial" w:cs="Times New Roman" w:hint="default"/>
      </w:rPr>
    </w:lvl>
    <w:lvl w:ilvl="6" w:tplc="1DA250D0">
      <w:start w:val="1"/>
      <w:numFmt w:val="bullet"/>
      <w:lvlText w:val="•"/>
      <w:lvlJc w:val="left"/>
      <w:pPr>
        <w:tabs>
          <w:tab w:val="num" w:pos="5040"/>
        </w:tabs>
        <w:ind w:left="5040" w:hanging="360"/>
      </w:pPr>
      <w:rPr>
        <w:rFonts w:ascii="Arial" w:hAnsi="Arial" w:cs="Times New Roman" w:hint="default"/>
      </w:rPr>
    </w:lvl>
    <w:lvl w:ilvl="7" w:tplc="B238BB3C">
      <w:start w:val="1"/>
      <w:numFmt w:val="bullet"/>
      <w:lvlText w:val="•"/>
      <w:lvlJc w:val="left"/>
      <w:pPr>
        <w:tabs>
          <w:tab w:val="num" w:pos="5760"/>
        </w:tabs>
        <w:ind w:left="5760" w:hanging="360"/>
      </w:pPr>
      <w:rPr>
        <w:rFonts w:ascii="Arial" w:hAnsi="Arial" w:cs="Times New Roman" w:hint="default"/>
      </w:rPr>
    </w:lvl>
    <w:lvl w:ilvl="8" w:tplc="72C8CD1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AD4B36"/>
    <w:multiLevelType w:val="hybridMultilevel"/>
    <w:tmpl w:val="156074B8"/>
    <w:lvl w:ilvl="0" w:tplc="48D442BA">
      <w:start w:val="1"/>
      <w:numFmt w:val="bullet"/>
      <w:lvlText w:val=""/>
      <w:lvlJc w:val="left"/>
      <w:pPr>
        <w:tabs>
          <w:tab w:val="num" w:pos="720"/>
        </w:tabs>
        <w:ind w:left="720" w:hanging="360"/>
      </w:pPr>
      <w:rPr>
        <w:rFonts w:ascii="Symbol" w:hAnsi="Symbol" w:hint="default"/>
      </w:rPr>
    </w:lvl>
    <w:lvl w:ilvl="1" w:tplc="6D548C46" w:tentative="1">
      <w:start w:val="1"/>
      <w:numFmt w:val="bullet"/>
      <w:lvlText w:val=""/>
      <w:lvlJc w:val="left"/>
      <w:pPr>
        <w:tabs>
          <w:tab w:val="num" w:pos="1440"/>
        </w:tabs>
        <w:ind w:left="1440" w:hanging="360"/>
      </w:pPr>
      <w:rPr>
        <w:rFonts w:ascii="Symbol" w:hAnsi="Symbol" w:hint="default"/>
      </w:rPr>
    </w:lvl>
    <w:lvl w:ilvl="2" w:tplc="DD1C38E4" w:tentative="1">
      <w:start w:val="1"/>
      <w:numFmt w:val="bullet"/>
      <w:lvlText w:val=""/>
      <w:lvlJc w:val="left"/>
      <w:pPr>
        <w:tabs>
          <w:tab w:val="num" w:pos="2160"/>
        </w:tabs>
        <w:ind w:left="2160" w:hanging="360"/>
      </w:pPr>
      <w:rPr>
        <w:rFonts w:ascii="Symbol" w:hAnsi="Symbol" w:hint="default"/>
      </w:rPr>
    </w:lvl>
    <w:lvl w:ilvl="3" w:tplc="ECFAF044" w:tentative="1">
      <w:start w:val="1"/>
      <w:numFmt w:val="bullet"/>
      <w:lvlText w:val=""/>
      <w:lvlJc w:val="left"/>
      <w:pPr>
        <w:tabs>
          <w:tab w:val="num" w:pos="2880"/>
        </w:tabs>
        <w:ind w:left="2880" w:hanging="360"/>
      </w:pPr>
      <w:rPr>
        <w:rFonts w:ascii="Symbol" w:hAnsi="Symbol" w:hint="default"/>
      </w:rPr>
    </w:lvl>
    <w:lvl w:ilvl="4" w:tplc="E28CB5B8" w:tentative="1">
      <w:start w:val="1"/>
      <w:numFmt w:val="bullet"/>
      <w:lvlText w:val=""/>
      <w:lvlJc w:val="left"/>
      <w:pPr>
        <w:tabs>
          <w:tab w:val="num" w:pos="3600"/>
        </w:tabs>
        <w:ind w:left="3600" w:hanging="360"/>
      </w:pPr>
      <w:rPr>
        <w:rFonts w:ascii="Symbol" w:hAnsi="Symbol" w:hint="default"/>
      </w:rPr>
    </w:lvl>
    <w:lvl w:ilvl="5" w:tplc="E4FEA772" w:tentative="1">
      <w:start w:val="1"/>
      <w:numFmt w:val="bullet"/>
      <w:lvlText w:val=""/>
      <w:lvlJc w:val="left"/>
      <w:pPr>
        <w:tabs>
          <w:tab w:val="num" w:pos="4320"/>
        </w:tabs>
        <w:ind w:left="4320" w:hanging="360"/>
      </w:pPr>
      <w:rPr>
        <w:rFonts w:ascii="Symbol" w:hAnsi="Symbol" w:hint="default"/>
      </w:rPr>
    </w:lvl>
    <w:lvl w:ilvl="6" w:tplc="51CE9FA8" w:tentative="1">
      <w:start w:val="1"/>
      <w:numFmt w:val="bullet"/>
      <w:lvlText w:val=""/>
      <w:lvlJc w:val="left"/>
      <w:pPr>
        <w:tabs>
          <w:tab w:val="num" w:pos="5040"/>
        </w:tabs>
        <w:ind w:left="5040" w:hanging="360"/>
      </w:pPr>
      <w:rPr>
        <w:rFonts w:ascii="Symbol" w:hAnsi="Symbol" w:hint="default"/>
      </w:rPr>
    </w:lvl>
    <w:lvl w:ilvl="7" w:tplc="5AFE1430" w:tentative="1">
      <w:start w:val="1"/>
      <w:numFmt w:val="bullet"/>
      <w:lvlText w:val=""/>
      <w:lvlJc w:val="left"/>
      <w:pPr>
        <w:tabs>
          <w:tab w:val="num" w:pos="5760"/>
        </w:tabs>
        <w:ind w:left="5760" w:hanging="360"/>
      </w:pPr>
      <w:rPr>
        <w:rFonts w:ascii="Symbol" w:hAnsi="Symbol" w:hint="default"/>
      </w:rPr>
    </w:lvl>
    <w:lvl w:ilvl="8" w:tplc="DD9E919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E36467"/>
    <w:multiLevelType w:val="hybridMultilevel"/>
    <w:tmpl w:val="44C46D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D462AB"/>
    <w:multiLevelType w:val="multilevel"/>
    <w:tmpl w:val="E6760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1B3DAB"/>
    <w:multiLevelType w:val="hybridMultilevel"/>
    <w:tmpl w:val="3808D46A"/>
    <w:lvl w:ilvl="0" w:tplc="EC02BAE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C17583"/>
    <w:multiLevelType w:val="hybridMultilevel"/>
    <w:tmpl w:val="0396EC94"/>
    <w:lvl w:ilvl="0" w:tplc="9056C702">
      <w:start w:val="1"/>
      <w:numFmt w:val="bullet"/>
      <w:lvlText w:val=""/>
      <w:lvlJc w:val="left"/>
      <w:pPr>
        <w:tabs>
          <w:tab w:val="num" w:pos="720"/>
        </w:tabs>
        <w:ind w:left="720" w:hanging="360"/>
      </w:pPr>
      <w:rPr>
        <w:rFonts w:ascii="Symbol" w:hAnsi="Symbol" w:hint="default"/>
      </w:rPr>
    </w:lvl>
    <w:lvl w:ilvl="1" w:tplc="0A9EAEBA" w:tentative="1">
      <w:start w:val="1"/>
      <w:numFmt w:val="bullet"/>
      <w:lvlText w:val=""/>
      <w:lvlJc w:val="left"/>
      <w:pPr>
        <w:tabs>
          <w:tab w:val="num" w:pos="1440"/>
        </w:tabs>
        <w:ind w:left="1440" w:hanging="360"/>
      </w:pPr>
      <w:rPr>
        <w:rFonts w:ascii="Symbol" w:hAnsi="Symbol" w:hint="default"/>
      </w:rPr>
    </w:lvl>
    <w:lvl w:ilvl="2" w:tplc="C5B649D6" w:tentative="1">
      <w:start w:val="1"/>
      <w:numFmt w:val="bullet"/>
      <w:lvlText w:val=""/>
      <w:lvlJc w:val="left"/>
      <w:pPr>
        <w:tabs>
          <w:tab w:val="num" w:pos="2160"/>
        </w:tabs>
        <w:ind w:left="2160" w:hanging="360"/>
      </w:pPr>
      <w:rPr>
        <w:rFonts w:ascii="Symbol" w:hAnsi="Symbol" w:hint="default"/>
      </w:rPr>
    </w:lvl>
    <w:lvl w:ilvl="3" w:tplc="215639FA" w:tentative="1">
      <w:start w:val="1"/>
      <w:numFmt w:val="bullet"/>
      <w:lvlText w:val=""/>
      <w:lvlJc w:val="left"/>
      <w:pPr>
        <w:tabs>
          <w:tab w:val="num" w:pos="2880"/>
        </w:tabs>
        <w:ind w:left="2880" w:hanging="360"/>
      </w:pPr>
      <w:rPr>
        <w:rFonts w:ascii="Symbol" w:hAnsi="Symbol" w:hint="default"/>
      </w:rPr>
    </w:lvl>
    <w:lvl w:ilvl="4" w:tplc="8BE08BDC" w:tentative="1">
      <w:start w:val="1"/>
      <w:numFmt w:val="bullet"/>
      <w:lvlText w:val=""/>
      <w:lvlJc w:val="left"/>
      <w:pPr>
        <w:tabs>
          <w:tab w:val="num" w:pos="3600"/>
        </w:tabs>
        <w:ind w:left="3600" w:hanging="360"/>
      </w:pPr>
      <w:rPr>
        <w:rFonts w:ascii="Symbol" w:hAnsi="Symbol" w:hint="default"/>
      </w:rPr>
    </w:lvl>
    <w:lvl w:ilvl="5" w:tplc="D9AE8190" w:tentative="1">
      <w:start w:val="1"/>
      <w:numFmt w:val="bullet"/>
      <w:lvlText w:val=""/>
      <w:lvlJc w:val="left"/>
      <w:pPr>
        <w:tabs>
          <w:tab w:val="num" w:pos="4320"/>
        </w:tabs>
        <w:ind w:left="4320" w:hanging="360"/>
      </w:pPr>
      <w:rPr>
        <w:rFonts w:ascii="Symbol" w:hAnsi="Symbol" w:hint="default"/>
      </w:rPr>
    </w:lvl>
    <w:lvl w:ilvl="6" w:tplc="17DE2574" w:tentative="1">
      <w:start w:val="1"/>
      <w:numFmt w:val="bullet"/>
      <w:lvlText w:val=""/>
      <w:lvlJc w:val="left"/>
      <w:pPr>
        <w:tabs>
          <w:tab w:val="num" w:pos="5040"/>
        </w:tabs>
        <w:ind w:left="5040" w:hanging="360"/>
      </w:pPr>
      <w:rPr>
        <w:rFonts w:ascii="Symbol" w:hAnsi="Symbol" w:hint="default"/>
      </w:rPr>
    </w:lvl>
    <w:lvl w:ilvl="7" w:tplc="23944462" w:tentative="1">
      <w:start w:val="1"/>
      <w:numFmt w:val="bullet"/>
      <w:lvlText w:val=""/>
      <w:lvlJc w:val="left"/>
      <w:pPr>
        <w:tabs>
          <w:tab w:val="num" w:pos="5760"/>
        </w:tabs>
        <w:ind w:left="5760" w:hanging="360"/>
      </w:pPr>
      <w:rPr>
        <w:rFonts w:ascii="Symbol" w:hAnsi="Symbol" w:hint="default"/>
      </w:rPr>
    </w:lvl>
    <w:lvl w:ilvl="8" w:tplc="C7A0EF7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EC04492"/>
    <w:multiLevelType w:val="hybridMultilevel"/>
    <w:tmpl w:val="979A8ED4"/>
    <w:lvl w:ilvl="0" w:tplc="E92285B0">
      <w:start w:val="1"/>
      <w:numFmt w:val="bullet"/>
      <w:lvlText w:val="—"/>
      <w:lvlJc w:val="left"/>
      <w:pPr>
        <w:tabs>
          <w:tab w:val="num" w:pos="720"/>
        </w:tabs>
        <w:ind w:left="720" w:hanging="360"/>
      </w:pPr>
      <w:rPr>
        <w:rFonts w:ascii="Ericsson Hilda Light" w:hAnsi="Ericsson Hilda Light" w:hint="default"/>
      </w:rPr>
    </w:lvl>
    <w:lvl w:ilvl="1" w:tplc="3E1C12A6">
      <w:start w:val="25"/>
      <w:numFmt w:val="bullet"/>
      <w:lvlText w:val="—"/>
      <w:lvlJc w:val="left"/>
      <w:pPr>
        <w:tabs>
          <w:tab w:val="num" w:pos="1440"/>
        </w:tabs>
        <w:ind w:left="1440" w:hanging="360"/>
      </w:pPr>
      <w:rPr>
        <w:rFonts w:ascii="Ericsson Hilda Light" w:hAnsi="Ericsson Hilda Light" w:hint="default"/>
      </w:rPr>
    </w:lvl>
    <w:lvl w:ilvl="2" w:tplc="A64A042E">
      <w:start w:val="25"/>
      <w:numFmt w:val="bullet"/>
      <w:lvlText w:val="—"/>
      <w:lvlJc w:val="left"/>
      <w:pPr>
        <w:tabs>
          <w:tab w:val="num" w:pos="2160"/>
        </w:tabs>
        <w:ind w:left="2160" w:hanging="360"/>
      </w:pPr>
      <w:rPr>
        <w:rFonts w:ascii="Ericsson Hilda Light" w:hAnsi="Ericsson Hilda Light" w:hint="default"/>
      </w:rPr>
    </w:lvl>
    <w:lvl w:ilvl="3" w:tplc="CDDC1D5E" w:tentative="1">
      <w:start w:val="1"/>
      <w:numFmt w:val="bullet"/>
      <w:lvlText w:val="—"/>
      <w:lvlJc w:val="left"/>
      <w:pPr>
        <w:tabs>
          <w:tab w:val="num" w:pos="2880"/>
        </w:tabs>
        <w:ind w:left="2880" w:hanging="360"/>
      </w:pPr>
      <w:rPr>
        <w:rFonts w:ascii="Ericsson Hilda Light" w:hAnsi="Ericsson Hilda Light" w:hint="default"/>
      </w:rPr>
    </w:lvl>
    <w:lvl w:ilvl="4" w:tplc="E22A1AB6" w:tentative="1">
      <w:start w:val="1"/>
      <w:numFmt w:val="bullet"/>
      <w:lvlText w:val="—"/>
      <w:lvlJc w:val="left"/>
      <w:pPr>
        <w:tabs>
          <w:tab w:val="num" w:pos="3600"/>
        </w:tabs>
        <w:ind w:left="3600" w:hanging="360"/>
      </w:pPr>
      <w:rPr>
        <w:rFonts w:ascii="Ericsson Hilda Light" w:hAnsi="Ericsson Hilda Light" w:hint="default"/>
      </w:rPr>
    </w:lvl>
    <w:lvl w:ilvl="5" w:tplc="3EFA73E2" w:tentative="1">
      <w:start w:val="1"/>
      <w:numFmt w:val="bullet"/>
      <w:lvlText w:val="—"/>
      <w:lvlJc w:val="left"/>
      <w:pPr>
        <w:tabs>
          <w:tab w:val="num" w:pos="4320"/>
        </w:tabs>
        <w:ind w:left="4320" w:hanging="360"/>
      </w:pPr>
      <w:rPr>
        <w:rFonts w:ascii="Ericsson Hilda Light" w:hAnsi="Ericsson Hilda Light" w:hint="default"/>
      </w:rPr>
    </w:lvl>
    <w:lvl w:ilvl="6" w:tplc="0478D834" w:tentative="1">
      <w:start w:val="1"/>
      <w:numFmt w:val="bullet"/>
      <w:lvlText w:val="—"/>
      <w:lvlJc w:val="left"/>
      <w:pPr>
        <w:tabs>
          <w:tab w:val="num" w:pos="5040"/>
        </w:tabs>
        <w:ind w:left="5040" w:hanging="360"/>
      </w:pPr>
      <w:rPr>
        <w:rFonts w:ascii="Ericsson Hilda Light" w:hAnsi="Ericsson Hilda Light" w:hint="default"/>
      </w:rPr>
    </w:lvl>
    <w:lvl w:ilvl="7" w:tplc="ED8A87CE" w:tentative="1">
      <w:start w:val="1"/>
      <w:numFmt w:val="bullet"/>
      <w:lvlText w:val="—"/>
      <w:lvlJc w:val="left"/>
      <w:pPr>
        <w:tabs>
          <w:tab w:val="num" w:pos="5760"/>
        </w:tabs>
        <w:ind w:left="5760" w:hanging="360"/>
      </w:pPr>
      <w:rPr>
        <w:rFonts w:ascii="Ericsson Hilda Light" w:hAnsi="Ericsson Hilda Light" w:hint="default"/>
      </w:rPr>
    </w:lvl>
    <w:lvl w:ilvl="8" w:tplc="54AA8FC4"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F53DEA"/>
    <w:multiLevelType w:val="hybridMultilevel"/>
    <w:tmpl w:val="080024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5F2A4BEA"/>
    <w:lvl w:ilvl="0" w:tplc="BB0EA06E">
      <w:start w:val="1"/>
      <w:numFmt w:val="decimal"/>
      <w:pStyle w:val="Proposal"/>
      <w:lvlText w:val="Proposal %1"/>
      <w:lvlJc w:val="left"/>
      <w:pPr>
        <w:tabs>
          <w:tab w:val="num" w:pos="1304"/>
        </w:tabs>
        <w:ind w:left="1304" w:hanging="1304"/>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762A63"/>
    <w:multiLevelType w:val="hybridMultilevel"/>
    <w:tmpl w:val="EA6816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AB44B7"/>
    <w:multiLevelType w:val="hybridMultilevel"/>
    <w:tmpl w:val="D11A93E6"/>
    <w:lvl w:ilvl="0" w:tplc="6B806690">
      <w:start w:val="1"/>
      <w:numFmt w:val="bullet"/>
      <w:lvlText w:val=""/>
      <w:lvlJc w:val="left"/>
      <w:pPr>
        <w:tabs>
          <w:tab w:val="num" w:pos="720"/>
        </w:tabs>
        <w:ind w:left="720" w:hanging="360"/>
      </w:pPr>
      <w:rPr>
        <w:rFonts w:ascii="Symbol" w:hAnsi="Symbol" w:hint="default"/>
      </w:rPr>
    </w:lvl>
    <w:lvl w:ilvl="1" w:tplc="3196C2DA" w:tentative="1">
      <w:start w:val="1"/>
      <w:numFmt w:val="bullet"/>
      <w:lvlText w:val=""/>
      <w:lvlJc w:val="left"/>
      <w:pPr>
        <w:tabs>
          <w:tab w:val="num" w:pos="1440"/>
        </w:tabs>
        <w:ind w:left="1440" w:hanging="360"/>
      </w:pPr>
      <w:rPr>
        <w:rFonts w:ascii="Symbol" w:hAnsi="Symbol" w:hint="default"/>
      </w:rPr>
    </w:lvl>
    <w:lvl w:ilvl="2" w:tplc="983A78D4" w:tentative="1">
      <w:start w:val="1"/>
      <w:numFmt w:val="bullet"/>
      <w:lvlText w:val=""/>
      <w:lvlJc w:val="left"/>
      <w:pPr>
        <w:tabs>
          <w:tab w:val="num" w:pos="2160"/>
        </w:tabs>
        <w:ind w:left="2160" w:hanging="360"/>
      </w:pPr>
      <w:rPr>
        <w:rFonts w:ascii="Symbol" w:hAnsi="Symbol" w:hint="default"/>
      </w:rPr>
    </w:lvl>
    <w:lvl w:ilvl="3" w:tplc="BDF6F622" w:tentative="1">
      <w:start w:val="1"/>
      <w:numFmt w:val="bullet"/>
      <w:lvlText w:val=""/>
      <w:lvlJc w:val="left"/>
      <w:pPr>
        <w:tabs>
          <w:tab w:val="num" w:pos="2880"/>
        </w:tabs>
        <w:ind w:left="2880" w:hanging="360"/>
      </w:pPr>
      <w:rPr>
        <w:rFonts w:ascii="Symbol" w:hAnsi="Symbol" w:hint="default"/>
      </w:rPr>
    </w:lvl>
    <w:lvl w:ilvl="4" w:tplc="2F6EE91E" w:tentative="1">
      <w:start w:val="1"/>
      <w:numFmt w:val="bullet"/>
      <w:lvlText w:val=""/>
      <w:lvlJc w:val="left"/>
      <w:pPr>
        <w:tabs>
          <w:tab w:val="num" w:pos="3600"/>
        </w:tabs>
        <w:ind w:left="3600" w:hanging="360"/>
      </w:pPr>
      <w:rPr>
        <w:rFonts w:ascii="Symbol" w:hAnsi="Symbol" w:hint="default"/>
      </w:rPr>
    </w:lvl>
    <w:lvl w:ilvl="5" w:tplc="A5FC58BE" w:tentative="1">
      <w:start w:val="1"/>
      <w:numFmt w:val="bullet"/>
      <w:lvlText w:val=""/>
      <w:lvlJc w:val="left"/>
      <w:pPr>
        <w:tabs>
          <w:tab w:val="num" w:pos="4320"/>
        </w:tabs>
        <w:ind w:left="4320" w:hanging="360"/>
      </w:pPr>
      <w:rPr>
        <w:rFonts w:ascii="Symbol" w:hAnsi="Symbol" w:hint="default"/>
      </w:rPr>
    </w:lvl>
    <w:lvl w:ilvl="6" w:tplc="DF3A4076" w:tentative="1">
      <w:start w:val="1"/>
      <w:numFmt w:val="bullet"/>
      <w:lvlText w:val=""/>
      <w:lvlJc w:val="left"/>
      <w:pPr>
        <w:tabs>
          <w:tab w:val="num" w:pos="5040"/>
        </w:tabs>
        <w:ind w:left="5040" w:hanging="360"/>
      </w:pPr>
      <w:rPr>
        <w:rFonts w:ascii="Symbol" w:hAnsi="Symbol" w:hint="default"/>
      </w:rPr>
    </w:lvl>
    <w:lvl w:ilvl="7" w:tplc="45868318" w:tentative="1">
      <w:start w:val="1"/>
      <w:numFmt w:val="bullet"/>
      <w:lvlText w:val=""/>
      <w:lvlJc w:val="left"/>
      <w:pPr>
        <w:tabs>
          <w:tab w:val="num" w:pos="5760"/>
        </w:tabs>
        <w:ind w:left="5760" w:hanging="360"/>
      </w:pPr>
      <w:rPr>
        <w:rFonts w:ascii="Symbol" w:hAnsi="Symbol" w:hint="default"/>
      </w:rPr>
    </w:lvl>
    <w:lvl w:ilvl="8" w:tplc="C62AEB0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DD5D3F"/>
    <w:multiLevelType w:val="hybridMultilevel"/>
    <w:tmpl w:val="1EFE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F5184C"/>
    <w:multiLevelType w:val="hybridMultilevel"/>
    <w:tmpl w:val="9FEA515A"/>
    <w:lvl w:ilvl="0" w:tplc="7CF895AA">
      <w:start w:val="1"/>
      <w:numFmt w:val="bullet"/>
      <w:lvlText w:val=""/>
      <w:lvlJc w:val="left"/>
      <w:pPr>
        <w:tabs>
          <w:tab w:val="num" w:pos="720"/>
        </w:tabs>
        <w:ind w:left="720" w:hanging="360"/>
      </w:pPr>
      <w:rPr>
        <w:rFonts w:ascii="Symbol" w:hAnsi="Symbol" w:hint="default"/>
      </w:rPr>
    </w:lvl>
    <w:lvl w:ilvl="1" w:tplc="1A7EB018" w:tentative="1">
      <w:start w:val="1"/>
      <w:numFmt w:val="bullet"/>
      <w:lvlText w:val=""/>
      <w:lvlJc w:val="left"/>
      <w:pPr>
        <w:tabs>
          <w:tab w:val="num" w:pos="1440"/>
        </w:tabs>
        <w:ind w:left="1440" w:hanging="360"/>
      </w:pPr>
      <w:rPr>
        <w:rFonts w:ascii="Symbol" w:hAnsi="Symbol" w:hint="default"/>
      </w:rPr>
    </w:lvl>
    <w:lvl w:ilvl="2" w:tplc="31AE3002" w:tentative="1">
      <w:start w:val="1"/>
      <w:numFmt w:val="bullet"/>
      <w:lvlText w:val=""/>
      <w:lvlJc w:val="left"/>
      <w:pPr>
        <w:tabs>
          <w:tab w:val="num" w:pos="2160"/>
        </w:tabs>
        <w:ind w:left="2160" w:hanging="360"/>
      </w:pPr>
      <w:rPr>
        <w:rFonts w:ascii="Symbol" w:hAnsi="Symbol" w:hint="default"/>
      </w:rPr>
    </w:lvl>
    <w:lvl w:ilvl="3" w:tplc="157A520A" w:tentative="1">
      <w:start w:val="1"/>
      <w:numFmt w:val="bullet"/>
      <w:lvlText w:val=""/>
      <w:lvlJc w:val="left"/>
      <w:pPr>
        <w:tabs>
          <w:tab w:val="num" w:pos="2880"/>
        </w:tabs>
        <w:ind w:left="2880" w:hanging="360"/>
      </w:pPr>
      <w:rPr>
        <w:rFonts w:ascii="Symbol" w:hAnsi="Symbol" w:hint="default"/>
      </w:rPr>
    </w:lvl>
    <w:lvl w:ilvl="4" w:tplc="A118BFF0" w:tentative="1">
      <w:start w:val="1"/>
      <w:numFmt w:val="bullet"/>
      <w:lvlText w:val=""/>
      <w:lvlJc w:val="left"/>
      <w:pPr>
        <w:tabs>
          <w:tab w:val="num" w:pos="3600"/>
        </w:tabs>
        <w:ind w:left="3600" w:hanging="360"/>
      </w:pPr>
      <w:rPr>
        <w:rFonts w:ascii="Symbol" w:hAnsi="Symbol" w:hint="default"/>
      </w:rPr>
    </w:lvl>
    <w:lvl w:ilvl="5" w:tplc="036A63C0" w:tentative="1">
      <w:start w:val="1"/>
      <w:numFmt w:val="bullet"/>
      <w:lvlText w:val=""/>
      <w:lvlJc w:val="left"/>
      <w:pPr>
        <w:tabs>
          <w:tab w:val="num" w:pos="4320"/>
        </w:tabs>
        <w:ind w:left="4320" w:hanging="360"/>
      </w:pPr>
      <w:rPr>
        <w:rFonts w:ascii="Symbol" w:hAnsi="Symbol" w:hint="default"/>
      </w:rPr>
    </w:lvl>
    <w:lvl w:ilvl="6" w:tplc="134CA466" w:tentative="1">
      <w:start w:val="1"/>
      <w:numFmt w:val="bullet"/>
      <w:lvlText w:val=""/>
      <w:lvlJc w:val="left"/>
      <w:pPr>
        <w:tabs>
          <w:tab w:val="num" w:pos="5040"/>
        </w:tabs>
        <w:ind w:left="5040" w:hanging="360"/>
      </w:pPr>
      <w:rPr>
        <w:rFonts w:ascii="Symbol" w:hAnsi="Symbol" w:hint="default"/>
      </w:rPr>
    </w:lvl>
    <w:lvl w:ilvl="7" w:tplc="53B25B6A" w:tentative="1">
      <w:start w:val="1"/>
      <w:numFmt w:val="bullet"/>
      <w:lvlText w:val=""/>
      <w:lvlJc w:val="left"/>
      <w:pPr>
        <w:tabs>
          <w:tab w:val="num" w:pos="5760"/>
        </w:tabs>
        <w:ind w:left="5760" w:hanging="360"/>
      </w:pPr>
      <w:rPr>
        <w:rFonts w:ascii="Symbol" w:hAnsi="Symbol" w:hint="default"/>
      </w:rPr>
    </w:lvl>
    <w:lvl w:ilvl="8" w:tplc="83F4B69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101505E"/>
    <w:multiLevelType w:val="hybridMultilevel"/>
    <w:tmpl w:val="49BC20C2"/>
    <w:lvl w:ilvl="0" w:tplc="3D08C81E">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33145B"/>
    <w:multiLevelType w:val="hybridMultilevel"/>
    <w:tmpl w:val="530C61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7CD2A56"/>
    <w:multiLevelType w:val="multilevel"/>
    <w:tmpl w:val="B704A67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09C1327"/>
    <w:multiLevelType w:val="hybridMultilevel"/>
    <w:tmpl w:val="0A70CB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67222B"/>
    <w:multiLevelType w:val="hybridMultilevel"/>
    <w:tmpl w:val="1E3E9DF4"/>
    <w:lvl w:ilvl="0" w:tplc="179AC19E">
      <w:start w:val="1"/>
      <w:numFmt w:val="bullet"/>
      <w:lvlText w:val="—"/>
      <w:lvlJc w:val="left"/>
      <w:pPr>
        <w:tabs>
          <w:tab w:val="num" w:pos="720"/>
        </w:tabs>
        <w:ind w:left="720" w:hanging="360"/>
      </w:pPr>
      <w:rPr>
        <w:rFonts w:ascii="Ericsson Hilda Light" w:hAnsi="Ericsson Hilda Light" w:hint="default"/>
      </w:rPr>
    </w:lvl>
    <w:lvl w:ilvl="1" w:tplc="618E0E48">
      <w:start w:val="25"/>
      <w:numFmt w:val="bullet"/>
      <w:lvlText w:val="—"/>
      <w:lvlJc w:val="left"/>
      <w:pPr>
        <w:tabs>
          <w:tab w:val="num" w:pos="1440"/>
        </w:tabs>
        <w:ind w:left="1440" w:hanging="360"/>
      </w:pPr>
      <w:rPr>
        <w:rFonts w:ascii="Ericsson Hilda Light" w:hAnsi="Ericsson Hilda Light" w:hint="default"/>
      </w:rPr>
    </w:lvl>
    <w:lvl w:ilvl="2" w:tplc="3834AB68">
      <w:start w:val="25"/>
      <w:numFmt w:val="bullet"/>
      <w:lvlText w:val="—"/>
      <w:lvlJc w:val="left"/>
      <w:pPr>
        <w:tabs>
          <w:tab w:val="num" w:pos="2160"/>
        </w:tabs>
        <w:ind w:left="2160" w:hanging="360"/>
      </w:pPr>
      <w:rPr>
        <w:rFonts w:ascii="Ericsson Hilda Light" w:hAnsi="Ericsson Hilda Light" w:hint="default"/>
      </w:rPr>
    </w:lvl>
    <w:lvl w:ilvl="3" w:tplc="28F6DA1E" w:tentative="1">
      <w:start w:val="1"/>
      <w:numFmt w:val="bullet"/>
      <w:lvlText w:val="—"/>
      <w:lvlJc w:val="left"/>
      <w:pPr>
        <w:tabs>
          <w:tab w:val="num" w:pos="2880"/>
        </w:tabs>
        <w:ind w:left="2880" w:hanging="360"/>
      </w:pPr>
      <w:rPr>
        <w:rFonts w:ascii="Ericsson Hilda Light" w:hAnsi="Ericsson Hilda Light" w:hint="default"/>
      </w:rPr>
    </w:lvl>
    <w:lvl w:ilvl="4" w:tplc="6902E5B8" w:tentative="1">
      <w:start w:val="1"/>
      <w:numFmt w:val="bullet"/>
      <w:lvlText w:val="—"/>
      <w:lvlJc w:val="left"/>
      <w:pPr>
        <w:tabs>
          <w:tab w:val="num" w:pos="3600"/>
        </w:tabs>
        <w:ind w:left="3600" w:hanging="360"/>
      </w:pPr>
      <w:rPr>
        <w:rFonts w:ascii="Ericsson Hilda Light" w:hAnsi="Ericsson Hilda Light" w:hint="default"/>
      </w:rPr>
    </w:lvl>
    <w:lvl w:ilvl="5" w:tplc="41805B38" w:tentative="1">
      <w:start w:val="1"/>
      <w:numFmt w:val="bullet"/>
      <w:lvlText w:val="—"/>
      <w:lvlJc w:val="left"/>
      <w:pPr>
        <w:tabs>
          <w:tab w:val="num" w:pos="4320"/>
        </w:tabs>
        <w:ind w:left="4320" w:hanging="360"/>
      </w:pPr>
      <w:rPr>
        <w:rFonts w:ascii="Ericsson Hilda Light" w:hAnsi="Ericsson Hilda Light" w:hint="default"/>
      </w:rPr>
    </w:lvl>
    <w:lvl w:ilvl="6" w:tplc="0F94F750" w:tentative="1">
      <w:start w:val="1"/>
      <w:numFmt w:val="bullet"/>
      <w:lvlText w:val="—"/>
      <w:lvlJc w:val="left"/>
      <w:pPr>
        <w:tabs>
          <w:tab w:val="num" w:pos="5040"/>
        </w:tabs>
        <w:ind w:left="5040" w:hanging="360"/>
      </w:pPr>
      <w:rPr>
        <w:rFonts w:ascii="Ericsson Hilda Light" w:hAnsi="Ericsson Hilda Light" w:hint="default"/>
      </w:rPr>
    </w:lvl>
    <w:lvl w:ilvl="7" w:tplc="66B21E40" w:tentative="1">
      <w:start w:val="1"/>
      <w:numFmt w:val="bullet"/>
      <w:lvlText w:val="—"/>
      <w:lvlJc w:val="left"/>
      <w:pPr>
        <w:tabs>
          <w:tab w:val="num" w:pos="5760"/>
        </w:tabs>
        <w:ind w:left="5760" w:hanging="360"/>
      </w:pPr>
      <w:rPr>
        <w:rFonts w:ascii="Ericsson Hilda Light" w:hAnsi="Ericsson Hilda Light" w:hint="default"/>
      </w:rPr>
    </w:lvl>
    <w:lvl w:ilvl="8" w:tplc="CB0C0186"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6D5A671E"/>
    <w:multiLevelType w:val="hybridMultilevel"/>
    <w:tmpl w:val="47D89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A12976"/>
    <w:multiLevelType w:val="hybridMultilevel"/>
    <w:tmpl w:val="AD869466"/>
    <w:lvl w:ilvl="0" w:tplc="8A488ED4">
      <w:start w:val="1"/>
      <w:numFmt w:val="bullet"/>
      <w:lvlText w:val=""/>
      <w:lvlJc w:val="left"/>
      <w:pPr>
        <w:tabs>
          <w:tab w:val="num" w:pos="720"/>
        </w:tabs>
        <w:ind w:left="720" w:hanging="360"/>
      </w:pPr>
      <w:rPr>
        <w:rFonts w:ascii="Symbol" w:hAnsi="Symbol" w:hint="default"/>
      </w:rPr>
    </w:lvl>
    <w:lvl w:ilvl="1" w:tplc="010EC42E" w:tentative="1">
      <w:start w:val="1"/>
      <w:numFmt w:val="bullet"/>
      <w:lvlText w:val=""/>
      <w:lvlJc w:val="left"/>
      <w:pPr>
        <w:tabs>
          <w:tab w:val="num" w:pos="1440"/>
        </w:tabs>
        <w:ind w:left="1440" w:hanging="360"/>
      </w:pPr>
      <w:rPr>
        <w:rFonts w:ascii="Symbol" w:hAnsi="Symbol" w:hint="default"/>
      </w:rPr>
    </w:lvl>
    <w:lvl w:ilvl="2" w:tplc="C2D05628" w:tentative="1">
      <w:start w:val="1"/>
      <w:numFmt w:val="bullet"/>
      <w:lvlText w:val=""/>
      <w:lvlJc w:val="left"/>
      <w:pPr>
        <w:tabs>
          <w:tab w:val="num" w:pos="2160"/>
        </w:tabs>
        <w:ind w:left="2160" w:hanging="360"/>
      </w:pPr>
      <w:rPr>
        <w:rFonts w:ascii="Symbol" w:hAnsi="Symbol" w:hint="default"/>
      </w:rPr>
    </w:lvl>
    <w:lvl w:ilvl="3" w:tplc="9EA25572" w:tentative="1">
      <w:start w:val="1"/>
      <w:numFmt w:val="bullet"/>
      <w:lvlText w:val=""/>
      <w:lvlJc w:val="left"/>
      <w:pPr>
        <w:tabs>
          <w:tab w:val="num" w:pos="2880"/>
        </w:tabs>
        <w:ind w:left="2880" w:hanging="360"/>
      </w:pPr>
      <w:rPr>
        <w:rFonts w:ascii="Symbol" w:hAnsi="Symbol" w:hint="default"/>
      </w:rPr>
    </w:lvl>
    <w:lvl w:ilvl="4" w:tplc="5B0E8C90" w:tentative="1">
      <w:start w:val="1"/>
      <w:numFmt w:val="bullet"/>
      <w:lvlText w:val=""/>
      <w:lvlJc w:val="left"/>
      <w:pPr>
        <w:tabs>
          <w:tab w:val="num" w:pos="3600"/>
        </w:tabs>
        <w:ind w:left="3600" w:hanging="360"/>
      </w:pPr>
      <w:rPr>
        <w:rFonts w:ascii="Symbol" w:hAnsi="Symbol" w:hint="default"/>
      </w:rPr>
    </w:lvl>
    <w:lvl w:ilvl="5" w:tplc="EE8E788A" w:tentative="1">
      <w:start w:val="1"/>
      <w:numFmt w:val="bullet"/>
      <w:lvlText w:val=""/>
      <w:lvlJc w:val="left"/>
      <w:pPr>
        <w:tabs>
          <w:tab w:val="num" w:pos="4320"/>
        </w:tabs>
        <w:ind w:left="4320" w:hanging="360"/>
      </w:pPr>
      <w:rPr>
        <w:rFonts w:ascii="Symbol" w:hAnsi="Symbol" w:hint="default"/>
      </w:rPr>
    </w:lvl>
    <w:lvl w:ilvl="6" w:tplc="AEC078EA" w:tentative="1">
      <w:start w:val="1"/>
      <w:numFmt w:val="bullet"/>
      <w:lvlText w:val=""/>
      <w:lvlJc w:val="left"/>
      <w:pPr>
        <w:tabs>
          <w:tab w:val="num" w:pos="5040"/>
        </w:tabs>
        <w:ind w:left="5040" w:hanging="360"/>
      </w:pPr>
      <w:rPr>
        <w:rFonts w:ascii="Symbol" w:hAnsi="Symbol" w:hint="default"/>
      </w:rPr>
    </w:lvl>
    <w:lvl w:ilvl="7" w:tplc="3D5A25C8" w:tentative="1">
      <w:start w:val="1"/>
      <w:numFmt w:val="bullet"/>
      <w:lvlText w:val=""/>
      <w:lvlJc w:val="left"/>
      <w:pPr>
        <w:tabs>
          <w:tab w:val="num" w:pos="5760"/>
        </w:tabs>
        <w:ind w:left="5760" w:hanging="360"/>
      </w:pPr>
      <w:rPr>
        <w:rFonts w:ascii="Symbol" w:hAnsi="Symbol" w:hint="default"/>
      </w:rPr>
    </w:lvl>
    <w:lvl w:ilvl="8" w:tplc="C76AD08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1A21EF0"/>
    <w:multiLevelType w:val="hybridMultilevel"/>
    <w:tmpl w:val="4C98D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7D901B7"/>
    <w:multiLevelType w:val="hybridMultilevel"/>
    <w:tmpl w:val="080024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7C192FB2"/>
    <w:multiLevelType w:val="hybridMultilevel"/>
    <w:tmpl w:val="249C0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8F4BEA"/>
    <w:multiLevelType w:val="hybridMultilevel"/>
    <w:tmpl w:val="30409700"/>
    <w:lvl w:ilvl="0" w:tplc="73EC91F4">
      <w:start w:val="1"/>
      <w:numFmt w:val="bullet"/>
      <w:lvlText w:val="—"/>
      <w:lvlJc w:val="left"/>
      <w:pPr>
        <w:tabs>
          <w:tab w:val="num" w:pos="720"/>
        </w:tabs>
        <w:ind w:left="720" w:hanging="360"/>
      </w:pPr>
      <w:rPr>
        <w:rFonts w:ascii="Ericsson Hilda Light" w:hAnsi="Ericsson Hilda Light" w:hint="default"/>
      </w:rPr>
    </w:lvl>
    <w:lvl w:ilvl="1" w:tplc="E770359A">
      <w:start w:val="94"/>
      <w:numFmt w:val="bullet"/>
      <w:lvlText w:val="—"/>
      <w:lvlJc w:val="left"/>
      <w:pPr>
        <w:tabs>
          <w:tab w:val="num" w:pos="1440"/>
        </w:tabs>
        <w:ind w:left="1440" w:hanging="360"/>
      </w:pPr>
      <w:rPr>
        <w:rFonts w:ascii="Ericsson Hilda Light" w:hAnsi="Ericsson Hilda Light" w:hint="default"/>
      </w:rPr>
    </w:lvl>
    <w:lvl w:ilvl="2" w:tplc="BC5A50F0" w:tentative="1">
      <w:start w:val="1"/>
      <w:numFmt w:val="bullet"/>
      <w:lvlText w:val="—"/>
      <w:lvlJc w:val="left"/>
      <w:pPr>
        <w:tabs>
          <w:tab w:val="num" w:pos="2160"/>
        </w:tabs>
        <w:ind w:left="2160" w:hanging="360"/>
      </w:pPr>
      <w:rPr>
        <w:rFonts w:ascii="Ericsson Hilda Light" w:hAnsi="Ericsson Hilda Light" w:hint="default"/>
      </w:rPr>
    </w:lvl>
    <w:lvl w:ilvl="3" w:tplc="644E739E" w:tentative="1">
      <w:start w:val="1"/>
      <w:numFmt w:val="bullet"/>
      <w:lvlText w:val="—"/>
      <w:lvlJc w:val="left"/>
      <w:pPr>
        <w:tabs>
          <w:tab w:val="num" w:pos="2880"/>
        </w:tabs>
        <w:ind w:left="2880" w:hanging="360"/>
      </w:pPr>
      <w:rPr>
        <w:rFonts w:ascii="Ericsson Hilda Light" w:hAnsi="Ericsson Hilda Light" w:hint="default"/>
      </w:rPr>
    </w:lvl>
    <w:lvl w:ilvl="4" w:tplc="F3D4A432" w:tentative="1">
      <w:start w:val="1"/>
      <w:numFmt w:val="bullet"/>
      <w:lvlText w:val="—"/>
      <w:lvlJc w:val="left"/>
      <w:pPr>
        <w:tabs>
          <w:tab w:val="num" w:pos="3600"/>
        </w:tabs>
        <w:ind w:left="3600" w:hanging="360"/>
      </w:pPr>
      <w:rPr>
        <w:rFonts w:ascii="Ericsson Hilda Light" w:hAnsi="Ericsson Hilda Light" w:hint="default"/>
      </w:rPr>
    </w:lvl>
    <w:lvl w:ilvl="5" w:tplc="A56EEF92" w:tentative="1">
      <w:start w:val="1"/>
      <w:numFmt w:val="bullet"/>
      <w:lvlText w:val="—"/>
      <w:lvlJc w:val="left"/>
      <w:pPr>
        <w:tabs>
          <w:tab w:val="num" w:pos="4320"/>
        </w:tabs>
        <w:ind w:left="4320" w:hanging="360"/>
      </w:pPr>
      <w:rPr>
        <w:rFonts w:ascii="Ericsson Hilda Light" w:hAnsi="Ericsson Hilda Light" w:hint="default"/>
      </w:rPr>
    </w:lvl>
    <w:lvl w:ilvl="6" w:tplc="7BB667E6" w:tentative="1">
      <w:start w:val="1"/>
      <w:numFmt w:val="bullet"/>
      <w:lvlText w:val="—"/>
      <w:lvlJc w:val="left"/>
      <w:pPr>
        <w:tabs>
          <w:tab w:val="num" w:pos="5040"/>
        </w:tabs>
        <w:ind w:left="5040" w:hanging="360"/>
      </w:pPr>
      <w:rPr>
        <w:rFonts w:ascii="Ericsson Hilda Light" w:hAnsi="Ericsson Hilda Light" w:hint="default"/>
      </w:rPr>
    </w:lvl>
    <w:lvl w:ilvl="7" w:tplc="6778D8DA" w:tentative="1">
      <w:start w:val="1"/>
      <w:numFmt w:val="bullet"/>
      <w:lvlText w:val="—"/>
      <w:lvlJc w:val="left"/>
      <w:pPr>
        <w:tabs>
          <w:tab w:val="num" w:pos="5760"/>
        </w:tabs>
        <w:ind w:left="5760" w:hanging="360"/>
      </w:pPr>
      <w:rPr>
        <w:rFonts w:ascii="Ericsson Hilda Light" w:hAnsi="Ericsson Hilda Light" w:hint="default"/>
      </w:rPr>
    </w:lvl>
    <w:lvl w:ilvl="8" w:tplc="E2E655D8"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2"/>
  </w:num>
  <w:num w:numId="2">
    <w:abstractNumId w:val="25"/>
  </w:num>
  <w:num w:numId="3">
    <w:abstractNumId w:val="1"/>
  </w:num>
  <w:num w:numId="4">
    <w:abstractNumId w:val="34"/>
  </w:num>
  <w:num w:numId="5">
    <w:abstractNumId w:val="35"/>
  </w:num>
  <w:num w:numId="6">
    <w:abstractNumId w:val="39"/>
  </w:num>
  <w:num w:numId="7">
    <w:abstractNumId w:val="11"/>
  </w:num>
  <w:num w:numId="8">
    <w:abstractNumId w:val="13"/>
  </w:num>
  <w:num w:numId="9">
    <w:abstractNumId w:val="7"/>
  </w:num>
  <w:num w:numId="10">
    <w:abstractNumId w:val="48"/>
  </w:num>
  <w:num w:numId="11">
    <w:abstractNumId w:val="23"/>
  </w:num>
  <w:num w:numId="12">
    <w:abstractNumId w:val="43"/>
  </w:num>
  <w:num w:numId="13">
    <w:abstractNumId w:val="44"/>
  </w:num>
  <w:num w:numId="14">
    <w:abstractNumId w:val="20"/>
  </w:num>
  <w:num w:numId="15">
    <w:abstractNumId w:val="29"/>
  </w:num>
  <w:num w:numId="16">
    <w:abstractNumId w:val="19"/>
  </w:num>
  <w:num w:numId="17">
    <w:abstractNumId w:val="26"/>
  </w:num>
  <w:num w:numId="18">
    <w:abstractNumId w:val="30"/>
  </w:num>
  <w:num w:numId="19">
    <w:abstractNumId w:val="52"/>
  </w:num>
  <w:num w:numId="20">
    <w:abstractNumId w:val="36"/>
  </w:num>
  <w:num w:numId="21">
    <w:abstractNumId w:val="16"/>
  </w:num>
  <w:num w:numId="22">
    <w:abstractNumId w:val="9"/>
  </w:num>
  <w:num w:numId="23">
    <w:abstractNumId w:val="37"/>
  </w:num>
  <w:num w:numId="24">
    <w:abstractNumId w:val="51"/>
  </w:num>
  <w:num w:numId="25">
    <w:abstractNumId w:val="47"/>
  </w:num>
  <w:num w:numId="26">
    <w:abstractNumId w:val="53"/>
  </w:num>
  <w:num w:numId="27">
    <w:abstractNumId w:val="3"/>
  </w:num>
  <w:num w:numId="28">
    <w:abstractNumId w:val="45"/>
  </w:num>
  <w:num w:numId="29">
    <w:abstractNumId w:val="17"/>
  </w:num>
  <w:num w:numId="30">
    <w:abstractNumId w:val="5"/>
  </w:num>
  <w:num w:numId="31">
    <w:abstractNumId w:val="33"/>
  </w:num>
  <w:num w:numId="32">
    <w:abstractNumId w:val="28"/>
  </w:num>
  <w:num w:numId="33">
    <w:abstractNumId w:val="10"/>
  </w:num>
  <w:num w:numId="34">
    <w:abstractNumId w:val="15"/>
  </w:num>
  <w:num w:numId="35">
    <w:abstractNumId w:val="12"/>
  </w:num>
  <w:num w:numId="36">
    <w:abstractNumId w:val="4"/>
  </w:num>
  <w:num w:numId="37">
    <w:abstractNumId w:val="4"/>
  </w:num>
  <w:num w:numId="38">
    <w:abstractNumId w:val="42"/>
  </w:num>
  <w:num w:numId="39">
    <w:abstractNumId w:val="18"/>
  </w:num>
  <w:num w:numId="40">
    <w:abstractNumId w:val="41"/>
  </w:num>
  <w:num w:numId="41">
    <w:abstractNumId w:val="22"/>
  </w:num>
  <w:num w:numId="42">
    <w:abstractNumId w:val="2"/>
  </w:num>
  <w:num w:numId="43">
    <w:abstractNumId w:val="31"/>
  </w:num>
  <w:num w:numId="44">
    <w:abstractNumId w:val="6"/>
  </w:num>
  <w:num w:numId="45">
    <w:abstractNumId w:val="0"/>
  </w:num>
  <w:num w:numId="46">
    <w:abstractNumId w:val="49"/>
  </w:num>
  <w:num w:numId="47">
    <w:abstractNumId w:val="27"/>
  </w:num>
  <w:num w:numId="48">
    <w:abstractNumId w:val="50"/>
  </w:num>
  <w:num w:numId="49">
    <w:abstractNumId w:val="46"/>
  </w:num>
  <w:num w:numId="50">
    <w:abstractNumId w:val="40"/>
  </w:num>
  <w:num w:numId="51">
    <w:abstractNumId w:val="24"/>
  </w:num>
  <w:num w:numId="52">
    <w:abstractNumId w:val="8"/>
  </w:num>
  <w:num w:numId="53">
    <w:abstractNumId w:val="38"/>
  </w:num>
  <w:num w:numId="54">
    <w:abstractNumId w:val="14"/>
  </w:num>
  <w:num w:numId="55">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1D6"/>
    <w:rsid w:val="00000610"/>
    <w:rsid w:val="000006E1"/>
    <w:rsid w:val="00000C82"/>
    <w:rsid w:val="00000D20"/>
    <w:rsid w:val="000016A7"/>
    <w:rsid w:val="00002A37"/>
    <w:rsid w:val="00002F98"/>
    <w:rsid w:val="000031DB"/>
    <w:rsid w:val="00003D12"/>
    <w:rsid w:val="00004096"/>
    <w:rsid w:val="0000414E"/>
    <w:rsid w:val="0000564C"/>
    <w:rsid w:val="000063CC"/>
    <w:rsid w:val="00006446"/>
    <w:rsid w:val="00006896"/>
    <w:rsid w:val="00007123"/>
    <w:rsid w:val="00007CDC"/>
    <w:rsid w:val="00007FA8"/>
    <w:rsid w:val="000100D9"/>
    <w:rsid w:val="000106EC"/>
    <w:rsid w:val="00010812"/>
    <w:rsid w:val="00010AED"/>
    <w:rsid w:val="00010E45"/>
    <w:rsid w:val="00011747"/>
    <w:rsid w:val="00011B28"/>
    <w:rsid w:val="000130E2"/>
    <w:rsid w:val="00013AEC"/>
    <w:rsid w:val="00014317"/>
    <w:rsid w:val="00014915"/>
    <w:rsid w:val="00015D15"/>
    <w:rsid w:val="00015D2F"/>
    <w:rsid w:val="0001646C"/>
    <w:rsid w:val="00016A8B"/>
    <w:rsid w:val="00017128"/>
    <w:rsid w:val="00017F49"/>
    <w:rsid w:val="000201B6"/>
    <w:rsid w:val="000207FB"/>
    <w:rsid w:val="00020950"/>
    <w:rsid w:val="000211D7"/>
    <w:rsid w:val="000216C6"/>
    <w:rsid w:val="0002183D"/>
    <w:rsid w:val="00021ED0"/>
    <w:rsid w:val="000223A5"/>
    <w:rsid w:val="0002252A"/>
    <w:rsid w:val="00023097"/>
    <w:rsid w:val="000248D8"/>
    <w:rsid w:val="000251E5"/>
    <w:rsid w:val="0002564D"/>
    <w:rsid w:val="00025ECA"/>
    <w:rsid w:val="000268A5"/>
    <w:rsid w:val="000268B4"/>
    <w:rsid w:val="00027EDC"/>
    <w:rsid w:val="00030278"/>
    <w:rsid w:val="0003061B"/>
    <w:rsid w:val="00030A8F"/>
    <w:rsid w:val="00030E9D"/>
    <w:rsid w:val="000325B8"/>
    <w:rsid w:val="00033280"/>
    <w:rsid w:val="00033FC6"/>
    <w:rsid w:val="00034C15"/>
    <w:rsid w:val="00035BE2"/>
    <w:rsid w:val="00036B47"/>
    <w:rsid w:val="00036BA1"/>
    <w:rsid w:val="00036CCF"/>
    <w:rsid w:val="00037737"/>
    <w:rsid w:val="0004117C"/>
    <w:rsid w:val="00041A16"/>
    <w:rsid w:val="000422E2"/>
    <w:rsid w:val="000426A3"/>
    <w:rsid w:val="00042F22"/>
    <w:rsid w:val="0004326D"/>
    <w:rsid w:val="00043828"/>
    <w:rsid w:val="0004423F"/>
    <w:rsid w:val="0004436A"/>
    <w:rsid w:val="000444EF"/>
    <w:rsid w:val="00044611"/>
    <w:rsid w:val="00044987"/>
    <w:rsid w:val="00044C46"/>
    <w:rsid w:val="0004509B"/>
    <w:rsid w:val="000451AD"/>
    <w:rsid w:val="00047A14"/>
    <w:rsid w:val="00047C5C"/>
    <w:rsid w:val="00047D28"/>
    <w:rsid w:val="000510B4"/>
    <w:rsid w:val="000525FD"/>
    <w:rsid w:val="00052A07"/>
    <w:rsid w:val="00052FD5"/>
    <w:rsid w:val="000532AC"/>
    <w:rsid w:val="000534E3"/>
    <w:rsid w:val="00054443"/>
    <w:rsid w:val="0005456B"/>
    <w:rsid w:val="0005570D"/>
    <w:rsid w:val="000559EE"/>
    <w:rsid w:val="0005606A"/>
    <w:rsid w:val="00056888"/>
    <w:rsid w:val="00056D85"/>
    <w:rsid w:val="00057117"/>
    <w:rsid w:val="00057210"/>
    <w:rsid w:val="0006014A"/>
    <w:rsid w:val="00060691"/>
    <w:rsid w:val="0006112F"/>
    <w:rsid w:val="00061294"/>
    <w:rsid w:val="000616E7"/>
    <w:rsid w:val="00061C8F"/>
    <w:rsid w:val="0006369B"/>
    <w:rsid w:val="000642B1"/>
    <w:rsid w:val="000645EB"/>
    <w:rsid w:val="00064624"/>
    <w:rsid w:val="0006487E"/>
    <w:rsid w:val="000649FA"/>
    <w:rsid w:val="00064C10"/>
    <w:rsid w:val="00064C93"/>
    <w:rsid w:val="00065139"/>
    <w:rsid w:val="00065B89"/>
    <w:rsid w:val="00065E1A"/>
    <w:rsid w:val="00066557"/>
    <w:rsid w:val="00066D33"/>
    <w:rsid w:val="000671F2"/>
    <w:rsid w:val="00070601"/>
    <w:rsid w:val="00070939"/>
    <w:rsid w:val="00070BBA"/>
    <w:rsid w:val="000710AE"/>
    <w:rsid w:val="000711E5"/>
    <w:rsid w:val="0007125E"/>
    <w:rsid w:val="0007167B"/>
    <w:rsid w:val="00071DEB"/>
    <w:rsid w:val="00072071"/>
    <w:rsid w:val="00072586"/>
    <w:rsid w:val="00072916"/>
    <w:rsid w:val="00072AC1"/>
    <w:rsid w:val="00073D9E"/>
    <w:rsid w:val="00074294"/>
    <w:rsid w:val="0007509B"/>
    <w:rsid w:val="00075710"/>
    <w:rsid w:val="00075AAB"/>
    <w:rsid w:val="00075CE1"/>
    <w:rsid w:val="000766D9"/>
    <w:rsid w:val="000767AA"/>
    <w:rsid w:val="00076FA3"/>
    <w:rsid w:val="00077C77"/>
    <w:rsid w:val="00077E5F"/>
    <w:rsid w:val="0008036A"/>
    <w:rsid w:val="00080742"/>
    <w:rsid w:val="000819D2"/>
    <w:rsid w:val="00081AE6"/>
    <w:rsid w:val="00081DE7"/>
    <w:rsid w:val="00081E50"/>
    <w:rsid w:val="00082808"/>
    <w:rsid w:val="00083FB7"/>
    <w:rsid w:val="000841A9"/>
    <w:rsid w:val="00084919"/>
    <w:rsid w:val="00084B0A"/>
    <w:rsid w:val="00084C57"/>
    <w:rsid w:val="00085458"/>
    <w:rsid w:val="000854B8"/>
    <w:rsid w:val="000855EB"/>
    <w:rsid w:val="00085B52"/>
    <w:rsid w:val="00086286"/>
    <w:rsid w:val="000866F2"/>
    <w:rsid w:val="00086844"/>
    <w:rsid w:val="000868FB"/>
    <w:rsid w:val="000869BC"/>
    <w:rsid w:val="00087312"/>
    <w:rsid w:val="000874C6"/>
    <w:rsid w:val="0008770C"/>
    <w:rsid w:val="00087838"/>
    <w:rsid w:val="0009009F"/>
    <w:rsid w:val="000907E2"/>
    <w:rsid w:val="00090D0E"/>
    <w:rsid w:val="000910F7"/>
    <w:rsid w:val="00091557"/>
    <w:rsid w:val="000919BF"/>
    <w:rsid w:val="00091A71"/>
    <w:rsid w:val="00091C61"/>
    <w:rsid w:val="00091CBF"/>
    <w:rsid w:val="000924C1"/>
    <w:rsid w:val="000924F0"/>
    <w:rsid w:val="00092705"/>
    <w:rsid w:val="00092D7D"/>
    <w:rsid w:val="00092F1E"/>
    <w:rsid w:val="00093474"/>
    <w:rsid w:val="000934D7"/>
    <w:rsid w:val="00094090"/>
    <w:rsid w:val="000943BE"/>
    <w:rsid w:val="0009450C"/>
    <w:rsid w:val="00094759"/>
    <w:rsid w:val="00094938"/>
    <w:rsid w:val="0009510F"/>
    <w:rsid w:val="00095896"/>
    <w:rsid w:val="0009654E"/>
    <w:rsid w:val="000966A3"/>
    <w:rsid w:val="000A0A2E"/>
    <w:rsid w:val="000A17C1"/>
    <w:rsid w:val="000A1B7B"/>
    <w:rsid w:val="000A2279"/>
    <w:rsid w:val="000A2373"/>
    <w:rsid w:val="000A25C4"/>
    <w:rsid w:val="000A2A06"/>
    <w:rsid w:val="000A3505"/>
    <w:rsid w:val="000A3F52"/>
    <w:rsid w:val="000A4F61"/>
    <w:rsid w:val="000A518C"/>
    <w:rsid w:val="000A52E7"/>
    <w:rsid w:val="000A549A"/>
    <w:rsid w:val="000A56F2"/>
    <w:rsid w:val="000A577C"/>
    <w:rsid w:val="000A5B98"/>
    <w:rsid w:val="000A5CDB"/>
    <w:rsid w:val="000A62E9"/>
    <w:rsid w:val="000A647E"/>
    <w:rsid w:val="000A68C5"/>
    <w:rsid w:val="000A6FE9"/>
    <w:rsid w:val="000A7311"/>
    <w:rsid w:val="000A7805"/>
    <w:rsid w:val="000B0101"/>
    <w:rsid w:val="000B10D9"/>
    <w:rsid w:val="000B139A"/>
    <w:rsid w:val="000B1669"/>
    <w:rsid w:val="000B18F4"/>
    <w:rsid w:val="000B1C16"/>
    <w:rsid w:val="000B1C9C"/>
    <w:rsid w:val="000B2719"/>
    <w:rsid w:val="000B2FAE"/>
    <w:rsid w:val="000B328E"/>
    <w:rsid w:val="000B3640"/>
    <w:rsid w:val="000B3A8F"/>
    <w:rsid w:val="000B408B"/>
    <w:rsid w:val="000B4AB9"/>
    <w:rsid w:val="000B4C59"/>
    <w:rsid w:val="000B4E44"/>
    <w:rsid w:val="000B51D6"/>
    <w:rsid w:val="000B534D"/>
    <w:rsid w:val="000B5391"/>
    <w:rsid w:val="000B5670"/>
    <w:rsid w:val="000B58C3"/>
    <w:rsid w:val="000B5E36"/>
    <w:rsid w:val="000B61E9"/>
    <w:rsid w:val="000B64ED"/>
    <w:rsid w:val="000B71DA"/>
    <w:rsid w:val="000B73AB"/>
    <w:rsid w:val="000B7873"/>
    <w:rsid w:val="000B7A06"/>
    <w:rsid w:val="000B7EAD"/>
    <w:rsid w:val="000C05A4"/>
    <w:rsid w:val="000C154B"/>
    <w:rsid w:val="000C165A"/>
    <w:rsid w:val="000C1DB6"/>
    <w:rsid w:val="000C2238"/>
    <w:rsid w:val="000C289E"/>
    <w:rsid w:val="000C2E19"/>
    <w:rsid w:val="000C3780"/>
    <w:rsid w:val="000C3C9B"/>
    <w:rsid w:val="000C42E4"/>
    <w:rsid w:val="000C45EA"/>
    <w:rsid w:val="000C4A49"/>
    <w:rsid w:val="000C4AC5"/>
    <w:rsid w:val="000C4B77"/>
    <w:rsid w:val="000C5525"/>
    <w:rsid w:val="000C5858"/>
    <w:rsid w:val="000C7268"/>
    <w:rsid w:val="000C73BB"/>
    <w:rsid w:val="000C7F5D"/>
    <w:rsid w:val="000D02DD"/>
    <w:rsid w:val="000D0658"/>
    <w:rsid w:val="000D0CC8"/>
    <w:rsid w:val="000D0D07"/>
    <w:rsid w:val="000D0EDA"/>
    <w:rsid w:val="000D0FE4"/>
    <w:rsid w:val="000D13B8"/>
    <w:rsid w:val="000D1C64"/>
    <w:rsid w:val="000D238E"/>
    <w:rsid w:val="000D2668"/>
    <w:rsid w:val="000D2C71"/>
    <w:rsid w:val="000D4797"/>
    <w:rsid w:val="000D4AB1"/>
    <w:rsid w:val="000D4C97"/>
    <w:rsid w:val="000D4E54"/>
    <w:rsid w:val="000D64FD"/>
    <w:rsid w:val="000D7B15"/>
    <w:rsid w:val="000D7BA0"/>
    <w:rsid w:val="000D7CF9"/>
    <w:rsid w:val="000E0527"/>
    <w:rsid w:val="000E05DE"/>
    <w:rsid w:val="000E1382"/>
    <w:rsid w:val="000E1620"/>
    <w:rsid w:val="000E18F7"/>
    <w:rsid w:val="000E19FA"/>
    <w:rsid w:val="000E1E92"/>
    <w:rsid w:val="000E25E5"/>
    <w:rsid w:val="000E4493"/>
    <w:rsid w:val="000E5801"/>
    <w:rsid w:val="000E5AD3"/>
    <w:rsid w:val="000E6563"/>
    <w:rsid w:val="000E6842"/>
    <w:rsid w:val="000E71BC"/>
    <w:rsid w:val="000E73AD"/>
    <w:rsid w:val="000E79F8"/>
    <w:rsid w:val="000F0372"/>
    <w:rsid w:val="000F039C"/>
    <w:rsid w:val="000F03C4"/>
    <w:rsid w:val="000F06D6"/>
    <w:rsid w:val="000F0D51"/>
    <w:rsid w:val="000F0EB1"/>
    <w:rsid w:val="000F1015"/>
    <w:rsid w:val="000F1106"/>
    <w:rsid w:val="000F11BC"/>
    <w:rsid w:val="000F1840"/>
    <w:rsid w:val="000F204B"/>
    <w:rsid w:val="000F2286"/>
    <w:rsid w:val="000F34F2"/>
    <w:rsid w:val="000F3BE9"/>
    <w:rsid w:val="000F3C89"/>
    <w:rsid w:val="000F3F6C"/>
    <w:rsid w:val="000F4086"/>
    <w:rsid w:val="000F4BB8"/>
    <w:rsid w:val="000F5684"/>
    <w:rsid w:val="000F59E3"/>
    <w:rsid w:val="000F6270"/>
    <w:rsid w:val="000F6DF3"/>
    <w:rsid w:val="000F72A7"/>
    <w:rsid w:val="000F75D8"/>
    <w:rsid w:val="000F7730"/>
    <w:rsid w:val="000F78D4"/>
    <w:rsid w:val="000F7C1E"/>
    <w:rsid w:val="001001EA"/>
    <w:rsid w:val="00100543"/>
    <w:rsid w:val="001005FF"/>
    <w:rsid w:val="001007A6"/>
    <w:rsid w:val="00100D3B"/>
    <w:rsid w:val="001021DE"/>
    <w:rsid w:val="0010306B"/>
    <w:rsid w:val="0010330A"/>
    <w:rsid w:val="00103392"/>
    <w:rsid w:val="00103EC8"/>
    <w:rsid w:val="00104931"/>
    <w:rsid w:val="00104E21"/>
    <w:rsid w:val="0010589D"/>
    <w:rsid w:val="001062FB"/>
    <w:rsid w:val="001063E6"/>
    <w:rsid w:val="00107558"/>
    <w:rsid w:val="00107F32"/>
    <w:rsid w:val="0011008F"/>
    <w:rsid w:val="0011061F"/>
    <w:rsid w:val="00110CD8"/>
    <w:rsid w:val="00110E20"/>
    <w:rsid w:val="00110E68"/>
    <w:rsid w:val="001110FE"/>
    <w:rsid w:val="00111265"/>
    <w:rsid w:val="001120AC"/>
    <w:rsid w:val="00112854"/>
    <w:rsid w:val="001133A8"/>
    <w:rsid w:val="001133E1"/>
    <w:rsid w:val="00113CF4"/>
    <w:rsid w:val="00114533"/>
    <w:rsid w:val="001153EA"/>
    <w:rsid w:val="00115643"/>
    <w:rsid w:val="00115AC6"/>
    <w:rsid w:val="00115EF3"/>
    <w:rsid w:val="00116765"/>
    <w:rsid w:val="001167DA"/>
    <w:rsid w:val="001167F4"/>
    <w:rsid w:val="00117447"/>
    <w:rsid w:val="0011754B"/>
    <w:rsid w:val="00117754"/>
    <w:rsid w:val="00120A6A"/>
    <w:rsid w:val="00120AE7"/>
    <w:rsid w:val="0012121E"/>
    <w:rsid w:val="0012143A"/>
    <w:rsid w:val="001219F5"/>
    <w:rsid w:val="00121A20"/>
    <w:rsid w:val="00121D9C"/>
    <w:rsid w:val="001224B0"/>
    <w:rsid w:val="00122961"/>
    <w:rsid w:val="0012377F"/>
    <w:rsid w:val="00123C66"/>
    <w:rsid w:val="00123E90"/>
    <w:rsid w:val="00124314"/>
    <w:rsid w:val="0012479B"/>
    <w:rsid w:val="00124B59"/>
    <w:rsid w:val="00126B4A"/>
    <w:rsid w:val="00126ED3"/>
    <w:rsid w:val="00127D9B"/>
    <w:rsid w:val="0013073C"/>
    <w:rsid w:val="00130B84"/>
    <w:rsid w:val="00131A64"/>
    <w:rsid w:val="00131D5D"/>
    <w:rsid w:val="00131D90"/>
    <w:rsid w:val="00132FD0"/>
    <w:rsid w:val="00133CD5"/>
    <w:rsid w:val="001344C0"/>
    <w:rsid w:val="001346E2"/>
    <w:rsid w:val="001346FA"/>
    <w:rsid w:val="00134879"/>
    <w:rsid w:val="00134DD1"/>
    <w:rsid w:val="0013501D"/>
    <w:rsid w:val="00135252"/>
    <w:rsid w:val="001354F0"/>
    <w:rsid w:val="00135916"/>
    <w:rsid w:val="00135BF5"/>
    <w:rsid w:val="00135E65"/>
    <w:rsid w:val="00135F17"/>
    <w:rsid w:val="001366F3"/>
    <w:rsid w:val="00136FE9"/>
    <w:rsid w:val="00137064"/>
    <w:rsid w:val="0013765F"/>
    <w:rsid w:val="00137AB5"/>
    <w:rsid w:val="00137F0B"/>
    <w:rsid w:val="00140499"/>
    <w:rsid w:val="00140827"/>
    <w:rsid w:val="00140D09"/>
    <w:rsid w:val="001418B0"/>
    <w:rsid w:val="00141A9B"/>
    <w:rsid w:val="00141E92"/>
    <w:rsid w:val="00143062"/>
    <w:rsid w:val="001435F5"/>
    <w:rsid w:val="00144416"/>
    <w:rsid w:val="00144E50"/>
    <w:rsid w:val="0014530D"/>
    <w:rsid w:val="001459D4"/>
    <w:rsid w:val="00146027"/>
    <w:rsid w:val="00146F24"/>
    <w:rsid w:val="001478A6"/>
    <w:rsid w:val="001479E7"/>
    <w:rsid w:val="00147E57"/>
    <w:rsid w:val="00147EC8"/>
    <w:rsid w:val="00151071"/>
    <w:rsid w:val="00151E23"/>
    <w:rsid w:val="001526E0"/>
    <w:rsid w:val="00152F0A"/>
    <w:rsid w:val="0015343D"/>
    <w:rsid w:val="00153A33"/>
    <w:rsid w:val="00153DCA"/>
    <w:rsid w:val="001540C7"/>
    <w:rsid w:val="00154193"/>
    <w:rsid w:val="00154EFF"/>
    <w:rsid w:val="001551B5"/>
    <w:rsid w:val="001556CE"/>
    <w:rsid w:val="001557B8"/>
    <w:rsid w:val="00155BE2"/>
    <w:rsid w:val="00156BB2"/>
    <w:rsid w:val="00156C64"/>
    <w:rsid w:val="001570C6"/>
    <w:rsid w:val="001578FE"/>
    <w:rsid w:val="0016071C"/>
    <w:rsid w:val="00160849"/>
    <w:rsid w:val="001609F9"/>
    <w:rsid w:val="00160F86"/>
    <w:rsid w:val="001624EE"/>
    <w:rsid w:val="001626EC"/>
    <w:rsid w:val="001627F6"/>
    <w:rsid w:val="00162831"/>
    <w:rsid w:val="001628B7"/>
    <w:rsid w:val="00162D53"/>
    <w:rsid w:val="00163D01"/>
    <w:rsid w:val="001642CA"/>
    <w:rsid w:val="00165387"/>
    <w:rsid w:val="001656DD"/>
    <w:rsid w:val="001659C1"/>
    <w:rsid w:val="0016617A"/>
    <w:rsid w:val="00166372"/>
    <w:rsid w:val="001666B6"/>
    <w:rsid w:val="00166ADC"/>
    <w:rsid w:val="0016778E"/>
    <w:rsid w:val="00167A3C"/>
    <w:rsid w:val="00167D35"/>
    <w:rsid w:val="00170ADC"/>
    <w:rsid w:val="0017102C"/>
    <w:rsid w:val="00172026"/>
    <w:rsid w:val="00172202"/>
    <w:rsid w:val="0017292A"/>
    <w:rsid w:val="001731C5"/>
    <w:rsid w:val="0017339D"/>
    <w:rsid w:val="0017363B"/>
    <w:rsid w:val="00173A8E"/>
    <w:rsid w:val="00173CF4"/>
    <w:rsid w:val="001740B4"/>
    <w:rsid w:val="001740CF"/>
    <w:rsid w:val="001742F6"/>
    <w:rsid w:val="00174877"/>
    <w:rsid w:val="00174FEA"/>
    <w:rsid w:val="0017502C"/>
    <w:rsid w:val="00175328"/>
    <w:rsid w:val="00175E41"/>
    <w:rsid w:val="0017601B"/>
    <w:rsid w:val="00177FE9"/>
    <w:rsid w:val="001808DB"/>
    <w:rsid w:val="0018143F"/>
    <w:rsid w:val="00181FF8"/>
    <w:rsid w:val="00182215"/>
    <w:rsid w:val="001825E9"/>
    <w:rsid w:val="00182703"/>
    <w:rsid w:val="00182AAB"/>
    <w:rsid w:val="00182EB2"/>
    <w:rsid w:val="0018328E"/>
    <w:rsid w:val="001833B6"/>
    <w:rsid w:val="00183468"/>
    <w:rsid w:val="001847A6"/>
    <w:rsid w:val="00184C87"/>
    <w:rsid w:val="00185D50"/>
    <w:rsid w:val="00186776"/>
    <w:rsid w:val="00186BA3"/>
    <w:rsid w:val="0018745F"/>
    <w:rsid w:val="00190AC1"/>
    <w:rsid w:val="00190B27"/>
    <w:rsid w:val="00190F6B"/>
    <w:rsid w:val="001910F4"/>
    <w:rsid w:val="0019134D"/>
    <w:rsid w:val="001922DB"/>
    <w:rsid w:val="00192C18"/>
    <w:rsid w:val="0019341A"/>
    <w:rsid w:val="00193598"/>
    <w:rsid w:val="001944D4"/>
    <w:rsid w:val="0019539F"/>
    <w:rsid w:val="00195676"/>
    <w:rsid w:val="00195A75"/>
    <w:rsid w:val="00195DAB"/>
    <w:rsid w:val="001972CD"/>
    <w:rsid w:val="00197DE6"/>
    <w:rsid w:val="00197DF9"/>
    <w:rsid w:val="00197FE8"/>
    <w:rsid w:val="001A026F"/>
    <w:rsid w:val="001A086F"/>
    <w:rsid w:val="001A0F56"/>
    <w:rsid w:val="001A1126"/>
    <w:rsid w:val="001A1987"/>
    <w:rsid w:val="001A1A6C"/>
    <w:rsid w:val="001A1CDA"/>
    <w:rsid w:val="001A1E11"/>
    <w:rsid w:val="001A1E74"/>
    <w:rsid w:val="001A2315"/>
    <w:rsid w:val="001A2564"/>
    <w:rsid w:val="001A2D1C"/>
    <w:rsid w:val="001A4339"/>
    <w:rsid w:val="001A4ACA"/>
    <w:rsid w:val="001A5750"/>
    <w:rsid w:val="001A5D06"/>
    <w:rsid w:val="001A6173"/>
    <w:rsid w:val="001A6CBA"/>
    <w:rsid w:val="001A7270"/>
    <w:rsid w:val="001A7F8C"/>
    <w:rsid w:val="001B0476"/>
    <w:rsid w:val="001B04C1"/>
    <w:rsid w:val="001B0D97"/>
    <w:rsid w:val="001B17F2"/>
    <w:rsid w:val="001B19FE"/>
    <w:rsid w:val="001B1CDC"/>
    <w:rsid w:val="001B263C"/>
    <w:rsid w:val="001B2B2A"/>
    <w:rsid w:val="001B3014"/>
    <w:rsid w:val="001B3966"/>
    <w:rsid w:val="001B3B39"/>
    <w:rsid w:val="001B3E50"/>
    <w:rsid w:val="001B4C75"/>
    <w:rsid w:val="001B5976"/>
    <w:rsid w:val="001B5A5D"/>
    <w:rsid w:val="001B5ECD"/>
    <w:rsid w:val="001B6187"/>
    <w:rsid w:val="001B667A"/>
    <w:rsid w:val="001B6C26"/>
    <w:rsid w:val="001B6C57"/>
    <w:rsid w:val="001B6D9E"/>
    <w:rsid w:val="001B7030"/>
    <w:rsid w:val="001B72FA"/>
    <w:rsid w:val="001B793C"/>
    <w:rsid w:val="001B7FB2"/>
    <w:rsid w:val="001C0042"/>
    <w:rsid w:val="001C0B71"/>
    <w:rsid w:val="001C0DAC"/>
    <w:rsid w:val="001C11B7"/>
    <w:rsid w:val="001C11FA"/>
    <w:rsid w:val="001C1483"/>
    <w:rsid w:val="001C1CA0"/>
    <w:rsid w:val="001C1CE5"/>
    <w:rsid w:val="001C2AA5"/>
    <w:rsid w:val="001C2BC1"/>
    <w:rsid w:val="001C2E46"/>
    <w:rsid w:val="001C2EEC"/>
    <w:rsid w:val="001C3B9C"/>
    <w:rsid w:val="001C3C5D"/>
    <w:rsid w:val="001C3D2A"/>
    <w:rsid w:val="001C4B0F"/>
    <w:rsid w:val="001C4B2A"/>
    <w:rsid w:val="001C585A"/>
    <w:rsid w:val="001C794C"/>
    <w:rsid w:val="001C7B93"/>
    <w:rsid w:val="001D0444"/>
    <w:rsid w:val="001D05DB"/>
    <w:rsid w:val="001D1024"/>
    <w:rsid w:val="001D197B"/>
    <w:rsid w:val="001D1AE6"/>
    <w:rsid w:val="001D2313"/>
    <w:rsid w:val="001D2874"/>
    <w:rsid w:val="001D2B48"/>
    <w:rsid w:val="001D3C27"/>
    <w:rsid w:val="001D4135"/>
    <w:rsid w:val="001D4FC2"/>
    <w:rsid w:val="001D50DE"/>
    <w:rsid w:val="001D51BA"/>
    <w:rsid w:val="001D53E7"/>
    <w:rsid w:val="001D5D39"/>
    <w:rsid w:val="001D6342"/>
    <w:rsid w:val="001D6D53"/>
    <w:rsid w:val="001D7064"/>
    <w:rsid w:val="001E13D7"/>
    <w:rsid w:val="001E14BA"/>
    <w:rsid w:val="001E24A5"/>
    <w:rsid w:val="001E29C5"/>
    <w:rsid w:val="001E29F5"/>
    <w:rsid w:val="001E2BB7"/>
    <w:rsid w:val="001E31CA"/>
    <w:rsid w:val="001E3828"/>
    <w:rsid w:val="001E481F"/>
    <w:rsid w:val="001E4A75"/>
    <w:rsid w:val="001E58E2"/>
    <w:rsid w:val="001E5A94"/>
    <w:rsid w:val="001E6FB8"/>
    <w:rsid w:val="001E7412"/>
    <w:rsid w:val="001E744E"/>
    <w:rsid w:val="001E784A"/>
    <w:rsid w:val="001E7862"/>
    <w:rsid w:val="001E7AED"/>
    <w:rsid w:val="001F0C19"/>
    <w:rsid w:val="001F2307"/>
    <w:rsid w:val="001F2366"/>
    <w:rsid w:val="001F2412"/>
    <w:rsid w:val="001F2D5B"/>
    <w:rsid w:val="001F3211"/>
    <w:rsid w:val="001F3916"/>
    <w:rsid w:val="001F39D0"/>
    <w:rsid w:val="001F3C76"/>
    <w:rsid w:val="001F4244"/>
    <w:rsid w:val="001F4941"/>
    <w:rsid w:val="001F4B3D"/>
    <w:rsid w:val="001F4EC7"/>
    <w:rsid w:val="001F5289"/>
    <w:rsid w:val="001F52BD"/>
    <w:rsid w:val="001F547F"/>
    <w:rsid w:val="001F54C5"/>
    <w:rsid w:val="001F5B24"/>
    <w:rsid w:val="001F656A"/>
    <w:rsid w:val="001F662C"/>
    <w:rsid w:val="001F6937"/>
    <w:rsid w:val="001F6968"/>
    <w:rsid w:val="001F7074"/>
    <w:rsid w:val="001F7107"/>
    <w:rsid w:val="001F7FED"/>
    <w:rsid w:val="00200172"/>
    <w:rsid w:val="00200490"/>
    <w:rsid w:val="002012C1"/>
    <w:rsid w:val="00201780"/>
    <w:rsid w:val="00201C4E"/>
    <w:rsid w:val="00201F3A"/>
    <w:rsid w:val="002024BA"/>
    <w:rsid w:val="0020309C"/>
    <w:rsid w:val="002033D5"/>
    <w:rsid w:val="00203CA8"/>
    <w:rsid w:val="00203F96"/>
    <w:rsid w:val="002040FA"/>
    <w:rsid w:val="00204381"/>
    <w:rsid w:val="0020465B"/>
    <w:rsid w:val="0020651C"/>
    <w:rsid w:val="002069B2"/>
    <w:rsid w:val="00207693"/>
    <w:rsid w:val="00207FA3"/>
    <w:rsid w:val="00210196"/>
    <w:rsid w:val="00210607"/>
    <w:rsid w:val="00210EC0"/>
    <w:rsid w:val="00211638"/>
    <w:rsid w:val="00211762"/>
    <w:rsid w:val="00211BD9"/>
    <w:rsid w:val="00211E27"/>
    <w:rsid w:val="00212236"/>
    <w:rsid w:val="00212576"/>
    <w:rsid w:val="00212993"/>
    <w:rsid w:val="00212A9B"/>
    <w:rsid w:val="00212C09"/>
    <w:rsid w:val="002130BB"/>
    <w:rsid w:val="00213334"/>
    <w:rsid w:val="00213F93"/>
    <w:rsid w:val="00214DA8"/>
    <w:rsid w:val="00214E5F"/>
    <w:rsid w:val="00215423"/>
    <w:rsid w:val="002158FA"/>
    <w:rsid w:val="002163F5"/>
    <w:rsid w:val="00216760"/>
    <w:rsid w:val="00216BB0"/>
    <w:rsid w:val="00216BDC"/>
    <w:rsid w:val="00216DBD"/>
    <w:rsid w:val="00220600"/>
    <w:rsid w:val="00220B34"/>
    <w:rsid w:val="00220CFE"/>
    <w:rsid w:val="00221041"/>
    <w:rsid w:val="00221B44"/>
    <w:rsid w:val="00222262"/>
    <w:rsid w:val="002222F5"/>
    <w:rsid w:val="002224DB"/>
    <w:rsid w:val="00222C4D"/>
    <w:rsid w:val="002235E6"/>
    <w:rsid w:val="00223B2A"/>
    <w:rsid w:val="00223D12"/>
    <w:rsid w:val="00223FCB"/>
    <w:rsid w:val="00224776"/>
    <w:rsid w:val="00224A73"/>
    <w:rsid w:val="00224D2B"/>
    <w:rsid w:val="00224E07"/>
    <w:rsid w:val="00225075"/>
    <w:rsid w:val="002251CB"/>
    <w:rsid w:val="002252C3"/>
    <w:rsid w:val="00225B77"/>
    <w:rsid w:val="00225C54"/>
    <w:rsid w:val="00225EA3"/>
    <w:rsid w:val="00226814"/>
    <w:rsid w:val="00226B71"/>
    <w:rsid w:val="00230765"/>
    <w:rsid w:val="00230D18"/>
    <w:rsid w:val="002319E4"/>
    <w:rsid w:val="00231EE2"/>
    <w:rsid w:val="00232067"/>
    <w:rsid w:val="00232719"/>
    <w:rsid w:val="00233512"/>
    <w:rsid w:val="00233735"/>
    <w:rsid w:val="00234F78"/>
    <w:rsid w:val="00235519"/>
    <w:rsid w:val="00235632"/>
    <w:rsid w:val="00235872"/>
    <w:rsid w:val="00235BAB"/>
    <w:rsid w:val="0023643E"/>
    <w:rsid w:val="00241559"/>
    <w:rsid w:val="00241A6A"/>
    <w:rsid w:val="00241EDB"/>
    <w:rsid w:val="00242371"/>
    <w:rsid w:val="00242375"/>
    <w:rsid w:val="00243276"/>
    <w:rsid w:val="00243286"/>
    <w:rsid w:val="002434E2"/>
    <w:rsid w:val="002435B3"/>
    <w:rsid w:val="00243B08"/>
    <w:rsid w:val="00243C87"/>
    <w:rsid w:val="00244940"/>
    <w:rsid w:val="00244E1E"/>
    <w:rsid w:val="002458EB"/>
    <w:rsid w:val="0024597C"/>
    <w:rsid w:val="0024622C"/>
    <w:rsid w:val="00247A19"/>
    <w:rsid w:val="00247C4A"/>
    <w:rsid w:val="002500C8"/>
    <w:rsid w:val="00250A23"/>
    <w:rsid w:val="00250CBA"/>
    <w:rsid w:val="00251424"/>
    <w:rsid w:val="00251492"/>
    <w:rsid w:val="002515B8"/>
    <w:rsid w:val="00251CD1"/>
    <w:rsid w:val="00253D50"/>
    <w:rsid w:val="00255328"/>
    <w:rsid w:val="00256B92"/>
    <w:rsid w:val="00256D5C"/>
    <w:rsid w:val="0025703A"/>
    <w:rsid w:val="00257543"/>
    <w:rsid w:val="00257BE8"/>
    <w:rsid w:val="002602E4"/>
    <w:rsid w:val="0026121A"/>
    <w:rsid w:val="002617E7"/>
    <w:rsid w:val="00261A2E"/>
    <w:rsid w:val="00261DB7"/>
    <w:rsid w:val="00262CF2"/>
    <w:rsid w:val="00262E3F"/>
    <w:rsid w:val="00263606"/>
    <w:rsid w:val="00264228"/>
    <w:rsid w:val="00264334"/>
    <w:rsid w:val="0026473E"/>
    <w:rsid w:val="002656BE"/>
    <w:rsid w:val="00266214"/>
    <w:rsid w:val="00266528"/>
    <w:rsid w:val="00267C83"/>
    <w:rsid w:val="00267F19"/>
    <w:rsid w:val="00270D95"/>
    <w:rsid w:val="002712AE"/>
    <w:rsid w:val="002713D5"/>
    <w:rsid w:val="0027144F"/>
    <w:rsid w:val="00271561"/>
    <w:rsid w:val="00271813"/>
    <w:rsid w:val="00271F3A"/>
    <w:rsid w:val="00272F73"/>
    <w:rsid w:val="0027314C"/>
    <w:rsid w:val="00273278"/>
    <w:rsid w:val="002734FD"/>
    <w:rsid w:val="002737F4"/>
    <w:rsid w:val="00273DC4"/>
    <w:rsid w:val="002744DE"/>
    <w:rsid w:val="00275CF7"/>
    <w:rsid w:val="002763D6"/>
    <w:rsid w:val="0027679E"/>
    <w:rsid w:val="00276997"/>
    <w:rsid w:val="002805F5"/>
    <w:rsid w:val="00280751"/>
    <w:rsid w:val="00280BA1"/>
    <w:rsid w:val="00280FD4"/>
    <w:rsid w:val="00281D38"/>
    <w:rsid w:val="002826E4"/>
    <w:rsid w:val="0028280A"/>
    <w:rsid w:val="00282BFE"/>
    <w:rsid w:val="00282FB0"/>
    <w:rsid w:val="00283E41"/>
    <w:rsid w:val="002840CC"/>
    <w:rsid w:val="002846AC"/>
    <w:rsid w:val="00285158"/>
    <w:rsid w:val="00285A0A"/>
    <w:rsid w:val="00286457"/>
    <w:rsid w:val="0028662E"/>
    <w:rsid w:val="00286ACD"/>
    <w:rsid w:val="00286D73"/>
    <w:rsid w:val="00287494"/>
    <w:rsid w:val="00287838"/>
    <w:rsid w:val="00290669"/>
    <w:rsid w:val="002907B5"/>
    <w:rsid w:val="00290B43"/>
    <w:rsid w:val="0029157F"/>
    <w:rsid w:val="00291943"/>
    <w:rsid w:val="00291B99"/>
    <w:rsid w:val="00291BC3"/>
    <w:rsid w:val="00292EB7"/>
    <w:rsid w:val="00294252"/>
    <w:rsid w:val="00294664"/>
    <w:rsid w:val="002948CD"/>
    <w:rsid w:val="00294A78"/>
    <w:rsid w:val="00295571"/>
    <w:rsid w:val="00295E0D"/>
    <w:rsid w:val="00296227"/>
    <w:rsid w:val="00296F44"/>
    <w:rsid w:val="00297342"/>
    <w:rsid w:val="00297373"/>
    <w:rsid w:val="0029777D"/>
    <w:rsid w:val="00297B91"/>
    <w:rsid w:val="00297C64"/>
    <w:rsid w:val="002A055E"/>
    <w:rsid w:val="002A1AA9"/>
    <w:rsid w:val="002A1D4E"/>
    <w:rsid w:val="002A1EBC"/>
    <w:rsid w:val="002A2667"/>
    <w:rsid w:val="002A2869"/>
    <w:rsid w:val="002A4725"/>
    <w:rsid w:val="002A51AC"/>
    <w:rsid w:val="002A61EA"/>
    <w:rsid w:val="002A6938"/>
    <w:rsid w:val="002A6AA7"/>
    <w:rsid w:val="002A6AD0"/>
    <w:rsid w:val="002A76E7"/>
    <w:rsid w:val="002B017D"/>
    <w:rsid w:val="002B07E6"/>
    <w:rsid w:val="002B0C0E"/>
    <w:rsid w:val="002B0EB9"/>
    <w:rsid w:val="002B1A1E"/>
    <w:rsid w:val="002B1EB0"/>
    <w:rsid w:val="002B24D6"/>
    <w:rsid w:val="002B3315"/>
    <w:rsid w:val="002B3DC9"/>
    <w:rsid w:val="002B3F2F"/>
    <w:rsid w:val="002B467C"/>
    <w:rsid w:val="002B5211"/>
    <w:rsid w:val="002B5AC2"/>
    <w:rsid w:val="002B5ECB"/>
    <w:rsid w:val="002B65B5"/>
    <w:rsid w:val="002B65D0"/>
    <w:rsid w:val="002B67AB"/>
    <w:rsid w:val="002B6F50"/>
    <w:rsid w:val="002B6F5F"/>
    <w:rsid w:val="002C0841"/>
    <w:rsid w:val="002C0860"/>
    <w:rsid w:val="002C152C"/>
    <w:rsid w:val="002C2448"/>
    <w:rsid w:val="002C24C4"/>
    <w:rsid w:val="002C24E0"/>
    <w:rsid w:val="002C25B1"/>
    <w:rsid w:val="002C27E6"/>
    <w:rsid w:val="002C29C9"/>
    <w:rsid w:val="002C3827"/>
    <w:rsid w:val="002C41E6"/>
    <w:rsid w:val="002C46D9"/>
    <w:rsid w:val="002C47A9"/>
    <w:rsid w:val="002C4C68"/>
    <w:rsid w:val="002C5A27"/>
    <w:rsid w:val="002C5CC8"/>
    <w:rsid w:val="002C6498"/>
    <w:rsid w:val="002C6826"/>
    <w:rsid w:val="002C6D71"/>
    <w:rsid w:val="002C7156"/>
    <w:rsid w:val="002D071A"/>
    <w:rsid w:val="002D07DF"/>
    <w:rsid w:val="002D2623"/>
    <w:rsid w:val="002D34B2"/>
    <w:rsid w:val="002D3726"/>
    <w:rsid w:val="002D38BD"/>
    <w:rsid w:val="002D3BBB"/>
    <w:rsid w:val="002D3D7B"/>
    <w:rsid w:val="002D3FBD"/>
    <w:rsid w:val="002D48B0"/>
    <w:rsid w:val="002D4BC9"/>
    <w:rsid w:val="002D5512"/>
    <w:rsid w:val="002D5955"/>
    <w:rsid w:val="002D5B37"/>
    <w:rsid w:val="002D68E3"/>
    <w:rsid w:val="002D6955"/>
    <w:rsid w:val="002D7637"/>
    <w:rsid w:val="002D76AE"/>
    <w:rsid w:val="002D7DB8"/>
    <w:rsid w:val="002D7FAF"/>
    <w:rsid w:val="002E17F2"/>
    <w:rsid w:val="002E21B1"/>
    <w:rsid w:val="002E25E2"/>
    <w:rsid w:val="002E2CE8"/>
    <w:rsid w:val="002E3044"/>
    <w:rsid w:val="002E3143"/>
    <w:rsid w:val="002E3DE1"/>
    <w:rsid w:val="002E73B9"/>
    <w:rsid w:val="002E7CAE"/>
    <w:rsid w:val="002F00AA"/>
    <w:rsid w:val="002F0165"/>
    <w:rsid w:val="002F0427"/>
    <w:rsid w:val="002F0C14"/>
    <w:rsid w:val="002F0D8C"/>
    <w:rsid w:val="002F1F23"/>
    <w:rsid w:val="002F2050"/>
    <w:rsid w:val="002F2771"/>
    <w:rsid w:val="002F37A9"/>
    <w:rsid w:val="002F421C"/>
    <w:rsid w:val="002F4469"/>
    <w:rsid w:val="002F480C"/>
    <w:rsid w:val="002F51C2"/>
    <w:rsid w:val="002F641A"/>
    <w:rsid w:val="002F6C6B"/>
    <w:rsid w:val="002F7488"/>
    <w:rsid w:val="002F7608"/>
    <w:rsid w:val="002F782A"/>
    <w:rsid w:val="002F7DD1"/>
    <w:rsid w:val="00301096"/>
    <w:rsid w:val="003012C2"/>
    <w:rsid w:val="003015E5"/>
    <w:rsid w:val="00301CE6"/>
    <w:rsid w:val="0030256B"/>
    <w:rsid w:val="00302A15"/>
    <w:rsid w:val="00302B00"/>
    <w:rsid w:val="00302B6E"/>
    <w:rsid w:val="003033AF"/>
    <w:rsid w:val="00303958"/>
    <w:rsid w:val="0030501F"/>
    <w:rsid w:val="003052B5"/>
    <w:rsid w:val="003057DF"/>
    <w:rsid w:val="00305B6E"/>
    <w:rsid w:val="00305D66"/>
    <w:rsid w:val="003062F5"/>
    <w:rsid w:val="00307BA1"/>
    <w:rsid w:val="0031029F"/>
    <w:rsid w:val="003106DF"/>
    <w:rsid w:val="003109B8"/>
    <w:rsid w:val="003111C2"/>
    <w:rsid w:val="003111C6"/>
    <w:rsid w:val="00311702"/>
    <w:rsid w:val="00311E82"/>
    <w:rsid w:val="00312154"/>
    <w:rsid w:val="003134AB"/>
    <w:rsid w:val="00313FD6"/>
    <w:rsid w:val="003143BD"/>
    <w:rsid w:val="00314728"/>
    <w:rsid w:val="00314C63"/>
    <w:rsid w:val="00315363"/>
    <w:rsid w:val="003153A4"/>
    <w:rsid w:val="00315476"/>
    <w:rsid w:val="00315F1E"/>
    <w:rsid w:val="00315F9F"/>
    <w:rsid w:val="003165DB"/>
    <w:rsid w:val="003168E9"/>
    <w:rsid w:val="00316DCF"/>
    <w:rsid w:val="00317C2F"/>
    <w:rsid w:val="00320282"/>
    <w:rsid w:val="003203ED"/>
    <w:rsid w:val="003206A2"/>
    <w:rsid w:val="0032074E"/>
    <w:rsid w:val="00320778"/>
    <w:rsid w:val="00320B93"/>
    <w:rsid w:val="00320FC2"/>
    <w:rsid w:val="00320FE3"/>
    <w:rsid w:val="003211E2"/>
    <w:rsid w:val="00321409"/>
    <w:rsid w:val="00321A35"/>
    <w:rsid w:val="0032203A"/>
    <w:rsid w:val="003228A3"/>
    <w:rsid w:val="00322A1E"/>
    <w:rsid w:val="00322C9F"/>
    <w:rsid w:val="00323483"/>
    <w:rsid w:val="00323FE1"/>
    <w:rsid w:val="003243A6"/>
    <w:rsid w:val="0032445A"/>
    <w:rsid w:val="00324736"/>
    <w:rsid w:val="00324D23"/>
    <w:rsid w:val="00325748"/>
    <w:rsid w:val="00326340"/>
    <w:rsid w:val="00326583"/>
    <w:rsid w:val="00326B40"/>
    <w:rsid w:val="00326E35"/>
    <w:rsid w:val="00326FF2"/>
    <w:rsid w:val="00327083"/>
    <w:rsid w:val="00327E1F"/>
    <w:rsid w:val="00330296"/>
    <w:rsid w:val="00330611"/>
    <w:rsid w:val="00331751"/>
    <w:rsid w:val="0033175F"/>
    <w:rsid w:val="003320AA"/>
    <w:rsid w:val="00332592"/>
    <w:rsid w:val="00332853"/>
    <w:rsid w:val="0033339E"/>
    <w:rsid w:val="00334579"/>
    <w:rsid w:val="003347BC"/>
    <w:rsid w:val="00334E3B"/>
    <w:rsid w:val="00335208"/>
    <w:rsid w:val="003353E4"/>
    <w:rsid w:val="00335858"/>
    <w:rsid w:val="0033595E"/>
    <w:rsid w:val="00335CF9"/>
    <w:rsid w:val="00335E5D"/>
    <w:rsid w:val="00336402"/>
    <w:rsid w:val="00336BDA"/>
    <w:rsid w:val="00337437"/>
    <w:rsid w:val="00340335"/>
    <w:rsid w:val="003427E6"/>
    <w:rsid w:val="00342BD7"/>
    <w:rsid w:val="00342D31"/>
    <w:rsid w:val="00343420"/>
    <w:rsid w:val="00343696"/>
    <w:rsid w:val="00343A37"/>
    <w:rsid w:val="00343E98"/>
    <w:rsid w:val="00345A7E"/>
    <w:rsid w:val="003464EC"/>
    <w:rsid w:val="00346C61"/>
    <w:rsid w:val="00346DB5"/>
    <w:rsid w:val="00347069"/>
    <w:rsid w:val="00347620"/>
    <w:rsid w:val="003477B1"/>
    <w:rsid w:val="00347DD6"/>
    <w:rsid w:val="00350970"/>
    <w:rsid w:val="00350E2F"/>
    <w:rsid w:val="003511D6"/>
    <w:rsid w:val="003516C0"/>
    <w:rsid w:val="00351C33"/>
    <w:rsid w:val="00351F77"/>
    <w:rsid w:val="003522C5"/>
    <w:rsid w:val="00354111"/>
    <w:rsid w:val="0035448B"/>
    <w:rsid w:val="00354592"/>
    <w:rsid w:val="00354AFC"/>
    <w:rsid w:val="00355190"/>
    <w:rsid w:val="0035588C"/>
    <w:rsid w:val="00355E18"/>
    <w:rsid w:val="00356B35"/>
    <w:rsid w:val="00356BC7"/>
    <w:rsid w:val="00356DBE"/>
    <w:rsid w:val="00357380"/>
    <w:rsid w:val="003578CD"/>
    <w:rsid w:val="003602D9"/>
    <w:rsid w:val="003604CE"/>
    <w:rsid w:val="00360B91"/>
    <w:rsid w:val="00360B92"/>
    <w:rsid w:val="00361754"/>
    <w:rsid w:val="003617DA"/>
    <w:rsid w:val="003622A3"/>
    <w:rsid w:val="003622FA"/>
    <w:rsid w:val="00362C1B"/>
    <w:rsid w:val="00362DFA"/>
    <w:rsid w:val="00362FBD"/>
    <w:rsid w:val="003633D6"/>
    <w:rsid w:val="003637A8"/>
    <w:rsid w:val="0036405B"/>
    <w:rsid w:val="00364643"/>
    <w:rsid w:val="00366106"/>
    <w:rsid w:val="00366254"/>
    <w:rsid w:val="00366F90"/>
    <w:rsid w:val="00367ADB"/>
    <w:rsid w:val="003701BE"/>
    <w:rsid w:val="00370274"/>
    <w:rsid w:val="003702B1"/>
    <w:rsid w:val="003703E8"/>
    <w:rsid w:val="003706C4"/>
    <w:rsid w:val="003708E4"/>
    <w:rsid w:val="00370DF4"/>
    <w:rsid w:val="00370E47"/>
    <w:rsid w:val="00370F79"/>
    <w:rsid w:val="003721EE"/>
    <w:rsid w:val="0037245F"/>
    <w:rsid w:val="003729F2"/>
    <w:rsid w:val="00372E94"/>
    <w:rsid w:val="0037322A"/>
    <w:rsid w:val="003732B8"/>
    <w:rsid w:val="00373D41"/>
    <w:rsid w:val="003742AC"/>
    <w:rsid w:val="003749C5"/>
    <w:rsid w:val="00374BA6"/>
    <w:rsid w:val="00374DEC"/>
    <w:rsid w:val="003760F6"/>
    <w:rsid w:val="0037683E"/>
    <w:rsid w:val="00376BD0"/>
    <w:rsid w:val="00377766"/>
    <w:rsid w:val="0037789E"/>
    <w:rsid w:val="00377CE1"/>
    <w:rsid w:val="003809BC"/>
    <w:rsid w:val="00380F56"/>
    <w:rsid w:val="003813FD"/>
    <w:rsid w:val="00381881"/>
    <w:rsid w:val="00381A49"/>
    <w:rsid w:val="00381DC8"/>
    <w:rsid w:val="00382738"/>
    <w:rsid w:val="00382AB5"/>
    <w:rsid w:val="00382D77"/>
    <w:rsid w:val="0038386D"/>
    <w:rsid w:val="00383B27"/>
    <w:rsid w:val="00385BF0"/>
    <w:rsid w:val="00385E21"/>
    <w:rsid w:val="00385F8F"/>
    <w:rsid w:val="0038748D"/>
    <w:rsid w:val="00387DEF"/>
    <w:rsid w:val="003906D0"/>
    <w:rsid w:val="00390837"/>
    <w:rsid w:val="00390FAA"/>
    <w:rsid w:val="0039171E"/>
    <w:rsid w:val="00392482"/>
    <w:rsid w:val="00392E07"/>
    <w:rsid w:val="00392EED"/>
    <w:rsid w:val="00393456"/>
    <w:rsid w:val="003939FF"/>
    <w:rsid w:val="00394055"/>
    <w:rsid w:val="00394457"/>
    <w:rsid w:val="00395EC6"/>
    <w:rsid w:val="0039716B"/>
    <w:rsid w:val="003A096E"/>
    <w:rsid w:val="003A0F6A"/>
    <w:rsid w:val="003A0F7E"/>
    <w:rsid w:val="003A13CE"/>
    <w:rsid w:val="003A1F1C"/>
    <w:rsid w:val="003A2223"/>
    <w:rsid w:val="003A2290"/>
    <w:rsid w:val="003A2A0F"/>
    <w:rsid w:val="003A2A5A"/>
    <w:rsid w:val="003A3856"/>
    <w:rsid w:val="003A45A1"/>
    <w:rsid w:val="003A45D2"/>
    <w:rsid w:val="003A5005"/>
    <w:rsid w:val="003A57CB"/>
    <w:rsid w:val="003A5B0A"/>
    <w:rsid w:val="003A5E2B"/>
    <w:rsid w:val="003A663C"/>
    <w:rsid w:val="003A6BAC"/>
    <w:rsid w:val="003A6C6A"/>
    <w:rsid w:val="003A6E37"/>
    <w:rsid w:val="003A6E8B"/>
    <w:rsid w:val="003A70A4"/>
    <w:rsid w:val="003A7EF3"/>
    <w:rsid w:val="003B02CC"/>
    <w:rsid w:val="003B0813"/>
    <w:rsid w:val="003B0898"/>
    <w:rsid w:val="003B1179"/>
    <w:rsid w:val="003B159C"/>
    <w:rsid w:val="003B1994"/>
    <w:rsid w:val="003B22BC"/>
    <w:rsid w:val="003B2530"/>
    <w:rsid w:val="003B2D57"/>
    <w:rsid w:val="003B369F"/>
    <w:rsid w:val="003B36A3"/>
    <w:rsid w:val="003B3B30"/>
    <w:rsid w:val="003B44D1"/>
    <w:rsid w:val="003B515A"/>
    <w:rsid w:val="003B5E8E"/>
    <w:rsid w:val="003B6495"/>
    <w:rsid w:val="003B64BB"/>
    <w:rsid w:val="003B72BE"/>
    <w:rsid w:val="003B7D9A"/>
    <w:rsid w:val="003B7FE5"/>
    <w:rsid w:val="003C0B3C"/>
    <w:rsid w:val="003C11C8"/>
    <w:rsid w:val="003C1CA4"/>
    <w:rsid w:val="003C1E43"/>
    <w:rsid w:val="003C2702"/>
    <w:rsid w:val="003C333C"/>
    <w:rsid w:val="003C35A7"/>
    <w:rsid w:val="003C3C0F"/>
    <w:rsid w:val="003C4B9F"/>
    <w:rsid w:val="003C4C9F"/>
    <w:rsid w:val="003C5306"/>
    <w:rsid w:val="003C704D"/>
    <w:rsid w:val="003C77F9"/>
    <w:rsid w:val="003C7806"/>
    <w:rsid w:val="003C7D3B"/>
    <w:rsid w:val="003C7F70"/>
    <w:rsid w:val="003D026A"/>
    <w:rsid w:val="003D0860"/>
    <w:rsid w:val="003D0D31"/>
    <w:rsid w:val="003D109F"/>
    <w:rsid w:val="003D2478"/>
    <w:rsid w:val="003D2893"/>
    <w:rsid w:val="003D3C45"/>
    <w:rsid w:val="003D496F"/>
    <w:rsid w:val="003D4D0F"/>
    <w:rsid w:val="003D530C"/>
    <w:rsid w:val="003D55B6"/>
    <w:rsid w:val="003D5B1F"/>
    <w:rsid w:val="003D624B"/>
    <w:rsid w:val="003D624F"/>
    <w:rsid w:val="003D662A"/>
    <w:rsid w:val="003D7263"/>
    <w:rsid w:val="003D77D0"/>
    <w:rsid w:val="003E0661"/>
    <w:rsid w:val="003E0864"/>
    <w:rsid w:val="003E1545"/>
    <w:rsid w:val="003E15FA"/>
    <w:rsid w:val="003E21BD"/>
    <w:rsid w:val="003E329B"/>
    <w:rsid w:val="003E3433"/>
    <w:rsid w:val="003E41DC"/>
    <w:rsid w:val="003E49BA"/>
    <w:rsid w:val="003E5064"/>
    <w:rsid w:val="003E5564"/>
    <w:rsid w:val="003E55E4"/>
    <w:rsid w:val="003E5DD4"/>
    <w:rsid w:val="003E64F4"/>
    <w:rsid w:val="003E6B31"/>
    <w:rsid w:val="003E74E3"/>
    <w:rsid w:val="003E7638"/>
    <w:rsid w:val="003E7C51"/>
    <w:rsid w:val="003F05C7"/>
    <w:rsid w:val="003F1395"/>
    <w:rsid w:val="003F1CD5"/>
    <w:rsid w:val="003F1D59"/>
    <w:rsid w:val="003F23E0"/>
    <w:rsid w:val="003F24E1"/>
    <w:rsid w:val="003F2658"/>
    <w:rsid w:val="003F2773"/>
    <w:rsid w:val="003F2CD4"/>
    <w:rsid w:val="003F2DE0"/>
    <w:rsid w:val="003F353D"/>
    <w:rsid w:val="003F46A5"/>
    <w:rsid w:val="003F57DC"/>
    <w:rsid w:val="003F5DF5"/>
    <w:rsid w:val="003F5F6A"/>
    <w:rsid w:val="003F6BBE"/>
    <w:rsid w:val="003F72ED"/>
    <w:rsid w:val="003F7B71"/>
    <w:rsid w:val="004000E8"/>
    <w:rsid w:val="00402E2B"/>
    <w:rsid w:val="00403553"/>
    <w:rsid w:val="00403EE8"/>
    <w:rsid w:val="00404C79"/>
    <w:rsid w:val="00404E80"/>
    <w:rsid w:val="0040512B"/>
    <w:rsid w:val="00405318"/>
    <w:rsid w:val="00405A1D"/>
    <w:rsid w:val="00405CA5"/>
    <w:rsid w:val="004060C8"/>
    <w:rsid w:val="004067A3"/>
    <w:rsid w:val="00406B69"/>
    <w:rsid w:val="00406BB6"/>
    <w:rsid w:val="00406DB3"/>
    <w:rsid w:val="00406E5C"/>
    <w:rsid w:val="00407536"/>
    <w:rsid w:val="00407CD3"/>
    <w:rsid w:val="00407F6B"/>
    <w:rsid w:val="0041008E"/>
    <w:rsid w:val="00410134"/>
    <w:rsid w:val="00410B72"/>
    <w:rsid w:val="00410F18"/>
    <w:rsid w:val="00411460"/>
    <w:rsid w:val="00411964"/>
    <w:rsid w:val="0041210F"/>
    <w:rsid w:val="0041263E"/>
    <w:rsid w:val="00412760"/>
    <w:rsid w:val="004127DC"/>
    <w:rsid w:val="00412F31"/>
    <w:rsid w:val="0041335E"/>
    <w:rsid w:val="00413904"/>
    <w:rsid w:val="00413AAC"/>
    <w:rsid w:val="00413E92"/>
    <w:rsid w:val="00413E99"/>
    <w:rsid w:val="0041538E"/>
    <w:rsid w:val="004158BD"/>
    <w:rsid w:val="00415954"/>
    <w:rsid w:val="00416249"/>
    <w:rsid w:val="0041653B"/>
    <w:rsid w:val="004172F2"/>
    <w:rsid w:val="004175DE"/>
    <w:rsid w:val="004208A9"/>
    <w:rsid w:val="00420AE6"/>
    <w:rsid w:val="00421105"/>
    <w:rsid w:val="004213D3"/>
    <w:rsid w:val="00421B8F"/>
    <w:rsid w:val="00422AA4"/>
    <w:rsid w:val="00422E3B"/>
    <w:rsid w:val="004235E7"/>
    <w:rsid w:val="004237FB"/>
    <w:rsid w:val="004242F4"/>
    <w:rsid w:val="00424D5F"/>
    <w:rsid w:val="00424F88"/>
    <w:rsid w:val="004250AA"/>
    <w:rsid w:val="00425105"/>
    <w:rsid w:val="004264CE"/>
    <w:rsid w:val="0042671B"/>
    <w:rsid w:val="0042688D"/>
    <w:rsid w:val="00426DDD"/>
    <w:rsid w:val="00426EFC"/>
    <w:rsid w:val="00427248"/>
    <w:rsid w:val="0042764B"/>
    <w:rsid w:val="0042772C"/>
    <w:rsid w:val="004311FD"/>
    <w:rsid w:val="00431BE2"/>
    <w:rsid w:val="00432490"/>
    <w:rsid w:val="0043345A"/>
    <w:rsid w:val="004338FC"/>
    <w:rsid w:val="00434900"/>
    <w:rsid w:val="004354CC"/>
    <w:rsid w:val="00435A89"/>
    <w:rsid w:val="00435ABA"/>
    <w:rsid w:val="00437447"/>
    <w:rsid w:val="004401E0"/>
    <w:rsid w:val="00440AE2"/>
    <w:rsid w:val="00441A92"/>
    <w:rsid w:val="00441DA1"/>
    <w:rsid w:val="00442F0D"/>
    <w:rsid w:val="004431A3"/>
    <w:rsid w:val="004431DC"/>
    <w:rsid w:val="00443568"/>
    <w:rsid w:val="004445E0"/>
    <w:rsid w:val="00444A5A"/>
    <w:rsid w:val="00444AD2"/>
    <w:rsid w:val="00444B17"/>
    <w:rsid w:val="00444F56"/>
    <w:rsid w:val="00446055"/>
    <w:rsid w:val="00446488"/>
    <w:rsid w:val="0044654C"/>
    <w:rsid w:val="004472D3"/>
    <w:rsid w:val="00447678"/>
    <w:rsid w:val="00447DBE"/>
    <w:rsid w:val="00450B80"/>
    <w:rsid w:val="00450FF0"/>
    <w:rsid w:val="00451306"/>
    <w:rsid w:val="004517AA"/>
    <w:rsid w:val="00451B6B"/>
    <w:rsid w:val="00452A05"/>
    <w:rsid w:val="00452CAC"/>
    <w:rsid w:val="00452D30"/>
    <w:rsid w:val="004530E2"/>
    <w:rsid w:val="004531FB"/>
    <w:rsid w:val="00453867"/>
    <w:rsid w:val="004542B0"/>
    <w:rsid w:val="00454957"/>
    <w:rsid w:val="00454B3E"/>
    <w:rsid w:val="00455F10"/>
    <w:rsid w:val="00455F20"/>
    <w:rsid w:val="00456418"/>
    <w:rsid w:val="00456598"/>
    <w:rsid w:val="00456625"/>
    <w:rsid w:val="004567F1"/>
    <w:rsid w:val="00457565"/>
    <w:rsid w:val="00457B71"/>
    <w:rsid w:val="004614F0"/>
    <w:rsid w:val="00461739"/>
    <w:rsid w:val="00461D32"/>
    <w:rsid w:val="00461D58"/>
    <w:rsid w:val="00461EB6"/>
    <w:rsid w:val="00462A3D"/>
    <w:rsid w:val="004636E4"/>
    <w:rsid w:val="004639AF"/>
    <w:rsid w:val="004646C6"/>
    <w:rsid w:val="004649F3"/>
    <w:rsid w:val="00465087"/>
    <w:rsid w:val="0046537E"/>
    <w:rsid w:val="004669E2"/>
    <w:rsid w:val="00467BBD"/>
    <w:rsid w:val="0047058B"/>
    <w:rsid w:val="00470A29"/>
    <w:rsid w:val="00470C31"/>
    <w:rsid w:val="0047167A"/>
    <w:rsid w:val="00471A62"/>
    <w:rsid w:val="00471DE0"/>
    <w:rsid w:val="00471F18"/>
    <w:rsid w:val="004726AC"/>
    <w:rsid w:val="004730E1"/>
    <w:rsid w:val="004734D0"/>
    <w:rsid w:val="00473706"/>
    <w:rsid w:val="00473C75"/>
    <w:rsid w:val="00474126"/>
    <w:rsid w:val="00474563"/>
    <w:rsid w:val="00475206"/>
    <w:rsid w:val="0047556B"/>
    <w:rsid w:val="004756E1"/>
    <w:rsid w:val="0047621E"/>
    <w:rsid w:val="00476F2A"/>
    <w:rsid w:val="0047718E"/>
    <w:rsid w:val="00477768"/>
    <w:rsid w:val="00477BCB"/>
    <w:rsid w:val="00477C73"/>
    <w:rsid w:val="00480868"/>
    <w:rsid w:val="004812CA"/>
    <w:rsid w:val="00481839"/>
    <w:rsid w:val="00481859"/>
    <w:rsid w:val="00483B58"/>
    <w:rsid w:val="0048449E"/>
    <w:rsid w:val="004845F2"/>
    <w:rsid w:val="00484B41"/>
    <w:rsid w:val="004850EF"/>
    <w:rsid w:val="00485D7B"/>
    <w:rsid w:val="004863C8"/>
    <w:rsid w:val="00486B6F"/>
    <w:rsid w:val="00487132"/>
    <w:rsid w:val="00487F56"/>
    <w:rsid w:val="00490585"/>
    <w:rsid w:val="0049067A"/>
    <w:rsid w:val="004914D5"/>
    <w:rsid w:val="00492199"/>
    <w:rsid w:val="00492BC5"/>
    <w:rsid w:val="00493274"/>
    <w:rsid w:val="004932DF"/>
    <w:rsid w:val="00493638"/>
    <w:rsid w:val="0049373B"/>
    <w:rsid w:val="004944B6"/>
    <w:rsid w:val="00494504"/>
    <w:rsid w:val="004950C7"/>
    <w:rsid w:val="004954B7"/>
    <w:rsid w:val="0049586B"/>
    <w:rsid w:val="00495D86"/>
    <w:rsid w:val="00496080"/>
    <w:rsid w:val="004963CE"/>
    <w:rsid w:val="004964F1"/>
    <w:rsid w:val="004965B1"/>
    <w:rsid w:val="00497D60"/>
    <w:rsid w:val="004A0405"/>
    <w:rsid w:val="004A111F"/>
    <w:rsid w:val="004A16BC"/>
    <w:rsid w:val="004A2B94"/>
    <w:rsid w:val="004A36D6"/>
    <w:rsid w:val="004A4116"/>
    <w:rsid w:val="004A464E"/>
    <w:rsid w:val="004A46D7"/>
    <w:rsid w:val="004A5B15"/>
    <w:rsid w:val="004A6B45"/>
    <w:rsid w:val="004A6B7F"/>
    <w:rsid w:val="004A6D4D"/>
    <w:rsid w:val="004A76E5"/>
    <w:rsid w:val="004A7EE2"/>
    <w:rsid w:val="004B0253"/>
    <w:rsid w:val="004B0F20"/>
    <w:rsid w:val="004B0FB6"/>
    <w:rsid w:val="004B12F0"/>
    <w:rsid w:val="004B1F23"/>
    <w:rsid w:val="004B20AA"/>
    <w:rsid w:val="004B2E58"/>
    <w:rsid w:val="004B3E02"/>
    <w:rsid w:val="004B3E32"/>
    <w:rsid w:val="004B3EB8"/>
    <w:rsid w:val="004B46D6"/>
    <w:rsid w:val="004B47CA"/>
    <w:rsid w:val="004B4EC6"/>
    <w:rsid w:val="004B5BA0"/>
    <w:rsid w:val="004B6456"/>
    <w:rsid w:val="004B6B85"/>
    <w:rsid w:val="004B6E03"/>
    <w:rsid w:val="004B6F6A"/>
    <w:rsid w:val="004B78DC"/>
    <w:rsid w:val="004B7C0C"/>
    <w:rsid w:val="004B7F57"/>
    <w:rsid w:val="004C0281"/>
    <w:rsid w:val="004C066C"/>
    <w:rsid w:val="004C0B9A"/>
    <w:rsid w:val="004C0C6C"/>
    <w:rsid w:val="004C15F7"/>
    <w:rsid w:val="004C1B52"/>
    <w:rsid w:val="004C1B6C"/>
    <w:rsid w:val="004C26FF"/>
    <w:rsid w:val="004C2B7C"/>
    <w:rsid w:val="004C309E"/>
    <w:rsid w:val="004C3671"/>
    <w:rsid w:val="004C3898"/>
    <w:rsid w:val="004C45D8"/>
    <w:rsid w:val="004C5787"/>
    <w:rsid w:val="004C5D9F"/>
    <w:rsid w:val="004C5F48"/>
    <w:rsid w:val="004C6013"/>
    <w:rsid w:val="004C66F9"/>
    <w:rsid w:val="004C67A2"/>
    <w:rsid w:val="004C7773"/>
    <w:rsid w:val="004C7A3E"/>
    <w:rsid w:val="004D0021"/>
    <w:rsid w:val="004D028B"/>
    <w:rsid w:val="004D0781"/>
    <w:rsid w:val="004D07CC"/>
    <w:rsid w:val="004D08BD"/>
    <w:rsid w:val="004D0D79"/>
    <w:rsid w:val="004D1B14"/>
    <w:rsid w:val="004D1F84"/>
    <w:rsid w:val="004D1FA1"/>
    <w:rsid w:val="004D2F5E"/>
    <w:rsid w:val="004D319E"/>
    <w:rsid w:val="004D321E"/>
    <w:rsid w:val="004D36B1"/>
    <w:rsid w:val="004D3CB7"/>
    <w:rsid w:val="004D428C"/>
    <w:rsid w:val="004D438B"/>
    <w:rsid w:val="004D4F69"/>
    <w:rsid w:val="004D5296"/>
    <w:rsid w:val="004D5AFF"/>
    <w:rsid w:val="004D5BEC"/>
    <w:rsid w:val="004D5D91"/>
    <w:rsid w:val="004D627A"/>
    <w:rsid w:val="004D6634"/>
    <w:rsid w:val="004D70CF"/>
    <w:rsid w:val="004D766E"/>
    <w:rsid w:val="004D76D8"/>
    <w:rsid w:val="004D7C01"/>
    <w:rsid w:val="004D7E0D"/>
    <w:rsid w:val="004D7EBD"/>
    <w:rsid w:val="004E1311"/>
    <w:rsid w:val="004E13FD"/>
    <w:rsid w:val="004E1447"/>
    <w:rsid w:val="004E14D4"/>
    <w:rsid w:val="004E1A2A"/>
    <w:rsid w:val="004E1A48"/>
    <w:rsid w:val="004E1BA7"/>
    <w:rsid w:val="004E241E"/>
    <w:rsid w:val="004E2680"/>
    <w:rsid w:val="004E28F9"/>
    <w:rsid w:val="004E2930"/>
    <w:rsid w:val="004E31C4"/>
    <w:rsid w:val="004E3433"/>
    <w:rsid w:val="004E343C"/>
    <w:rsid w:val="004E37EF"/>
    <w:rsid w:val="004E3B40"/>
    <w:rsid w:val="004E3C93"/>
    <w:rsid w:val="004E462E"/>
    <w:rsid w:val="004E4894"/>
    <w:rsid w:val="004E53BB"/>
    <w:rsid w:val="004E56DC"/>
    <w:rsid w:val="004E66D4"/>
    <w:rsid w:val="004E7241"/>
    <w:rsid w:val="004E76F4"/>
    <w:rsid w:val="004E7747"/>
    <w:rsid w:val="004E7AB3"/>
    <w:rsid w:val="004F0944"/>
    <w:rsid w:val="004F0B4E"/>
    <w:rsid w:val="004F0B6C"/>
    <w:rsid w:val="004F14F4"/>
    <w:rsid w:val="004F2078"/>
    <w:rsid w:val="004F4DA3"/>
    <w:rsid w:val="004F5347"/>
    <w:rsid w:val="004F549D"/>
    <w:rsid w:val="004F5725"/>
    <w:rsid w:val="004F58D3"/>
    <w:rsid w:val="004F597E"/>
    <w:rsid w:val="004F6262"/>
    <w:rsid w:val="004F6A57"/>
    <w:rsid w:val="004F7A63"/>
    <w:rsid w:val="00500DBA"/>
    <w:rsid w:val="00501866"/>
    <w:rsid w:val="00501869"/>
    <w:rsid w:val="00501C20"/>
    <w:rsid w:val="00503A3D"/>
    <w:rsid w:val="00503BA2"/>
    <w:rsid w:val="00504576"/>
    <w:rsid w:val="005049CF"/>
    <w:rsid w:val="00504EAD"/>
    <w:rsid w:val="00505628"/>
    <w:rsid w:val="00505731"/>
    <w:rsid w:val="00506557"/>
    <w:rsid w:val="0050663A"/>
    <w:rsid w:val="0050677A"/>
    <w:rsid w:val="00506D5A"/>
    <w:rsid w:val="00507FD4"/>
    <w:rsid w:val="005101B9"/>
    <w:rsid w:val="005108D8"/>
    <w:rsid w:val="00510A91"/>
    <w:rsid w:val="00510B2E"/>
    <w:rsid w:val="00510B53"/>
    <w:rsid w:val="0051129A"/>
    <w:rsid w:val="005116F9"/>
    <w:rsid w:val="005134B0"/>
    <w:rsid w:val="00513959"/>
    <w:rsid w:val="00514407"/>
    <w:rsid w:val="00514422"/>
    <w:rsid w:val="005153A7"/>
    <w:rsid w:val="00515A66"/>
    <w:rsid w:val="00516C4D"/>
    <w:rsid w:val="00516F00"/>
    <w:rsid w:val="005175D9"/>
    <w:rsid w:val="005177B7"/>
    <w:rsid w:val="00517859"/>
    <w:rsid w:val="00517CAE"/>
    <w:rsid w:val="00517EDA"/>
    <w:rsid w:val="00521782"/>
    <w:rsid w:val="0052189D"/>
    <w:rsid w:val="005219CF"/>
    <w:rsid w:val="00521CA0"/>
    <w:rsid w:val="00522E67"/>
    <w:rsid w:val="00524C34"/>
    <w:rsid w:val="0052646D"/>
    <w:rsid w:val="00526749"/>
    <w:rsid w:val="00526FCD"/>
    <w:rsid w:val="00527626"/>
    <w:rsid w:val="00527C9A"/>
    <w:rsid w:val="00530887"/>
    <w:rsid w:val="00530CDF"/>
    <w:rsid w:val="005312D3"/>
    <w:rsid w:val="00531400"/>
    <w:rsid w:val="0053193E"/>
    <w:rsid w:val="00531CBF"/>
    <w:rsid w:val="00533195"/>
    <w:rsid w:val="005336E6"/>
    <w:rsid w:val="00533C5B"/>
    <w:rsid w:val="00534B59"/>
    <w:rsid w:val="00534C68"/>
    <w:rsid w:val="00535302"/>
    <w:rsid w:val="00535D4F"/>
    <w:rsid w:val="005363E3"/>
    <w:rsid w:val="00536759"/>
    <w:rsid w:val="00536906"/>
    <w:rsid w:val="00536C39"/>
    <w:rsid w:val="00537880"/>
    <w:rsid w:val="00537A55"/>
    <w:rsid w:val="00537C62"/>
    <w:rsid w:val="00540887"/>
    <w:rsid w:val="00540E23"/>
    <w:rsid w:val="00540EAC"/>
    <w:rsid w:val="005412E2"/>
    <w:rsid w:val="0054153A"/>
    <w:rsid w:val="00541CAD"/>
    <w:rsid w:val="005423AE"/>
    <w:rsid w:val="0054278E"/>
    <w:rsid w:val="00544BD4"/>
    <w:rsid w:val="00544EEF"/>
    <w:rsid w:val="0054552B"/>
    <w:rsid w:val="005459DE"/>
    <w:rsid w:val="00545A1B"/>
    <w:rsid w:val="0054689A"/>
    <w:rsid w:val="00546970"/>
    <w:rsid w:val="00546F14"/>
    <w:rsid w:val="00551409"/>
    <w:rsid w:val="00551C87"/>
    <w:rsid w:val="00552A1F"/>
    <w:rsid w:val="00552B5B"/>
    <w:rsid w:val="00552EC8"/>
    <w:rsid w:val="005543E4"/>
    <w:rsid w:val="00554E19"/>
    <w:rsid w:val="0055586E"/>
    <w:rsid w:val="0055632E"/>
    <w:rsid w:val="005563C3"/>
    <w:rsid w:val="00556A25"/>
    <w:rsid w:val="00557AB7"/>
    <w:rsid w:val="00557D4D"/>
    <w:rsid w:val="00560434"/>
    <w:rsid w:val="005605FA"/>
    <w:rsid w:val="0056121F"/>
    <w:rsid w:val="005618EE"/>
    <w:rsid w:val="0056247A"/>
    <w:rsid w:val="00563675"/>
    <w:rsid w:val="005643D8"/>
    <w:rsid w:val="005652BB"/>
    <w:rsid w:val="005657EE"/>
    <w:rsid w:val="0056631D"/>
    <w:rsid w:val="005663D0"/>
    <w:rsid w:val="00566FE8"/>
    <w:rsid w:val="0056729E"/>
    <w:rsid w:val="0056747A"/>
    <w:rsid w:val="005704A2"/>
    <w:rsid w:val="00570BE7"/>
    <w:rsid w:val="00570ED0"/>
    <w:rsid w:val="00571392"/>
    <w:rsid w:val="00571C84"/>
    <w:rsid w:val="00572459"/>
    <w:rsid w:val="00572505"/>
    <w:rsid w:val="00573A96"/>
    <w:rsid w:val="00573E41"/>
    <w:rsid w:val="0057427B"/>
    <w:rsid w:val="00574988"/>
    <w:rsid w:val="00575032"/>
    <w:rsid w:val="005754E3"/>
    <w:rsid w:val="00575608"/>
    <w:rsid w:val="00577133"/>
    <w:rsid w:val="00577888"/>
    <w:rsid w:val="00581399"/>
    <w:rsid w:val="00581E78"/>
    <w:rsid w:val="00582652"/>
    <w:rsid w:val="00582809"/>
    <w:rsid w:val="00582C13"/>
    <w:rsid w:val="0058446B"/>
    <w:rsid w:val="00585666"/>
    <w:rsid w:val="00585832"/>
    <w:rsid w:val="00585C42"/>
    <w:rsid w:val="005860C8"/>
    <w:rsid w:val="005860FD"/>
    <w:rsid w:val="0058698E"/>
    <w:rsid w:val="005874C3"/>
    <w:rsid w:val="0058798C"/>
    <w:rsid w:val="005900FA"/>
    <w:rsid w:val="005902C6"/>
    <w:rsid w:val="0059177E"/>
    <w:rsid w:val="00591AC5"/>
    <w:rsid w:val="00591C24"/>
    <w:rsid w:val="005920F9"/>
    <w:rsid w:val="00592E44"/>
    <w:rsid w:val="00593199"/>
    <w:rsid w:val="005935A4"/>
    <w:rsid w:val="00594437"/>
    <w:rsid w:val="0059470F"/>
    <w:rsid w:val="00594857"/>
    <w:rsid w:val="005948C2"/>
    <w:rsid w:val="00594EBA"/>
    <w:rsid w:val="005950F0"/>
    <w:rsid w:val="00595188"/>
    <w:rsid w:val="00595288"/>
    <w:rsid w:val="00595993"/>
    <w:rsid w:val="00595C95"/>
    <w:rsid w:val="00595DCA"/>
    <w:rsid w:val="005965DD"/>
    <w:rsid w:val="0059697A"/>
    <w:rsid w:val="00596E8B"/>
    <w:rsid w:val="00596EA6"/>
    <w:rsid w:val="0059779B"/>
    <w:rsid w:val="005977D8"/>
    <w:rsid w:val="00597FBC"/>
    <w:rsid w:val="005A0367"/>
    <w:rsid w:val="005A132E"/>
    <w:rsid w:val="005A1594"/>
    <w:rsid w:val="005A16C3"/>
    <w:rsid w:val="005A1ED9"/>
    <w:rsid w:val="005A209A"/>
    <w:rsid w:val="005A2E1F"/>
    <w:rsid w:val="005A3D92"/>
    <w:rsid w:val="005A4B50"/>
    <w:rsid w:val="005A4CD3"/>
    <w:rsid w:val="005A5B4D"/>
    <w:rsid w:val="005A5CEA"/>
    <w:rsid w:val="005A5DD6"/>
    <w:rsid w:val="005A63CD"/>
    <w:rsid w:val="005A662D"/>
    <w:rsid w:val="005A6B33"/>
    <w:rsid w:val="005B1409"/>
    <w:rsid w:val="005B19AA"/>
    <w:rsid w:val="005B1B4B"/>
    <w:rsid w:val="005B1D51"/>
    <w:rsid w:val="005B2257"/>
    <w:rsid w:val="005B25CB"/>
    <w:rsid w:val="005B35D7"/>
    <w:rsid w:val="005B392A"/>
    <w:rsid w:val="005B3AA3"/>
    <w:rsid w:val="005B4AB9"/>
    <w:rsid w:val="005B4CFE"/>
    <w:rsid w:val="005B5423"/>
    <w:rsid w:val="005B5AEF"/>
    <w:rsid w:val="005B60E2"/>
    <w:rsid w:val="005B6471"/>
    <w:rsid w:val="005B64BB"/>
    <w:rsid w:val="005B6506"/>
    <w:rsid w:val="005B6A3C"/>
    <w:rsid w:val="005B6B55"/>
    <w:rsid w:val="005B6C81"/>
    <w:rsid w:val="005B6F83"/>
    <w:rsid w:val="005B7169"/>
    <w:rsid w:val="005B76B7"/>
    <w:rsid w:val="005C0E21"/>
    <w:rsid w:val="005C284C"/>
    <w:rsid w:val="005C2CB0"/>
    <w:rsid w:val="005C339A"/>
    <w:rsid w:val="005C37BB"/>
    <w:rsid w:val="005C38DE"/>
    <w:rsid w:val="005C39E4"/>
    <w:rsid w:val="005C4058"/>
    <w:rsid w:val="005C4650"/>
    <w:rsid w:val="005C46D6"/>
    <w:rsid w:val="005C481E"/>
    <w:rsid w:val="005C4937"/>
    <w:rsid w:val="005C4B8B"/>
    <w:rsid w:val="005C591E"/>
    <w:rsid w:val="005C677E"/>
    <w:rsid w:val="005C707B"/>
    <w:rsid w:val="005C72BA"/>
    <w:rsid w:val="005C74FB"/>
    <w:rsid w:val="005C77DA"/>
    <w:rsid w:val="005C78A4"/>
    <w:rsid w:val="005C79D7"/>
    <w:rsid w:val="005C7A51"/>
    <w:rsid w:val="005C7E15"/>
    <w:rsid w:val="005D0B0E"/>
    <w:rsid w:val="005D1602"/>
    <w:rsid w:val="005D1B3A"/>
    <w:rsid w:val="005D237E"/>
    <w:rsid w:val="005D24A6"/>
    <w:rsid w:val="005D2BB6"/>
    <w:rsid w:val="005D3772"/>
    <w:rsid w:val="005D3CAE"/>
    <w:rsid w:val="005D3DB0"/>
    <w:rsid w:val="005D47E3"/>
    <w:rsid w:val="005D4AD7"/>
    <w:rsid w:val="005D52E9"/>
    <w:rsid w:val="005D5855"/>
    <w:rsid w:val="005D6136"/>
    <w:rsid w:val="005D637B"/>
    <w:rsid w:val="005D6F47"/>
    <w:rsid w:val="005D78DB"/>
    <w:rsid w:val="005D7AAB"/>
    <w:rsid w:val="005D7AE7"/>
    <w:rsid w:val="005D7D24"/>
    <w:rsid w:val="005E05F4"/>
    <w:rsid w:val="005E101E"/>
    <w:rsid w:val="005E1323"/>
    <w:rsid w:val="005E14AC"/>
    <w:rsid w:val="005E157A"/>
    <w:rsid w:val="005E182F"/>
    <w:rsid w:val="005E2E28"/>
    <w:rsid w:val="005E3119"/>
    <w:rsid w:val="005E385F"/>
    <w:rsid w:val="005E41F3"/>
    <w:rsid w:val="005E469C"/>
    <w:rsid w:val="005E50F5"/>
    <w:rsid w:val="005E5597"/>
    <w:rsid w:val="005E5B81"/>
    <w:rsid w:val="005E6441"/>
    <w:rsid w:val="005E69DB"/>
    <w:rsid w:val="005E78D6"/>
    <w:rsid w:val="005E7CA2"/>
    <w:rsid w:val="005E7D49"/>
    <w:rsid w:val="005E7E55"/>
    <w:rsid w:val="005E7F88"/>
    <w:rsid w:val="005F0B10"/>
    <w:rsid w:val="005F175D"/>
    <w:rsid w:val="005F21CD"/>
    <w:rsid w:val="005F2B68"/>
    <w:rsid w:val="005F2CB1"/>
    <w:rsid w:val="005F3025"/>
    <w:rsid w:val="005F3300"/>
    <w:rsid w:val="005F40DD"/>
    <w:rsid w:val="005F5103"/>
    <w:rsid w:val="005F5EC0"/>
    <w:rsid w:val="005F618C"/>
    <w:rsid w:val="005F61A3"/>
    <w:rsid w:val="005F6513"/>
    <w:rsid w:val="005F6C77"/>
    <w:rsid w:val="005F70BD"/>
    <w:rsid w:val="00600200"/>
    <w:rsid w:val="00600829"/>
    <w:rsid w:val="006016FF"/>
    <w:rsid w:val="0060283C"/>
    <w:rsid w:val="0060345A"/>
    <w:rsid w:val="00604385"/>
    <w:rsid w:val="0060462A"/>
    <w:rsid w:val="00604798"/>
    <w:rsid w:val="006049F4"/>
    <w:rsid w:val="00604F14"/>
    <w:rsid w:val="00605365"/>
    <w:rsid w:val="00605CE0"/>
    <w:rsid w:val="00605EE1"/>
    <w:rsid w:val="0061090E"/>
    <w:rsid w:val="00611332"/>
    <w:rsid w:val="00611713"/>
    <w:rsid w:val="00611B83"/>
    <w:rsid w:val="00612221"/>
    <w:rsid w:val="0061284F"/>
    <w:rsid w:val="00612D58"/>
    <w:rsid w:val="00613257"/>
    <w:rsid w:val="00613BC9"/>
    <w:rsid w:val="00613E54"/>
    <w:rsid w:val="00613EAD"/>
    <w:rsid w:val="00614800"/>
    <w:rsid w:val="006159D5"/>
    <w:rsid w:val="00615AC6"/>
    <w:rsid w:val="00615C21"/>
    <w:rsid w:val="006169D0"/>
    <w:rsid w:val="00617EFE"/>
    <w:rsid w:val="00620621"/>
    <w:rsid w:val="00620A71"/>
    <w:rsid w:val="00620D80"/>
    <w:rsid w:val="00621924"/>
    <w:rsid w:val="00621C8C"/>
    <w:rsid w:val="0062258A"/>
    <w:rsid w:val="00622798"/>
    <w:rsid w:val="00622BC7"/>
    <w:rsid w:val="006231B1"/>
    <w:rsid w:val="0062327B"/>
    <w:rsid w:val="006234A6"/>
    <w:rsid w:val="0062392F"/>
    <w:rsid w:val="0062422E"/>
    <w:rsid w:val="0062464B"/>
    <w:rsid w:val="00625825"/>
    <w:rsid w:val="00625A63"/>
    <w:rsid w:val="00625B6D"/>
    <w:rsid w:val="00625C09"/>
    <w:rsid w:val="00626FBF"/>
    <w:rsid w:val="00627513"/>
    <w:rsid w:val="00627919"/>
    <w:rsid w:val="00630001"/>
    <w:rsid w:val="00630656"/>
    <w:rsid w:val="006311B3"/>
    <w:rsid w:val="00632592"/>
    <w:rsid w:val="0063271E"/>
    <w:rsid w:val="0063284C"/>
    <w:rsid w:val="00632B34"/>
    <w:rsid w:val="006336D2"/>
    <w:rsid w:val="006345F4"/>
    <w:rsid w:val="00634625"/>
    <w:rsid w:val="006359E3"/>
    <w:rsid w:val="00636081"/>
    <w:rsid w:val="00636398"/>
    <w:rsid w:val="006364A1"/>
    <w:rsid w:val="006365AF"/>
    <w:rsid w:val="006368D3"/>
    <w:rsid w:val="00637252"/>
    <w:rsid w:val="00637524"/>
    <w:rsid w:val="00637542"/>
    <w:rsid w:val="006377EC"/>
    <w:rsid w:val="00637812"/>
    <w:rsid w:val="00637D8F"/>
    <w:rsid w:val="0064035A"/>
    <w:rsid w:val="00640896"/>
    <w:rsid w:val="0064151F"/>
    <w:rsid w:val="00641533"/>
    <w:rsid w:val="006416D6"/>
    <w:rsid w:val="00641973"/>
    <w:rsid w:val="0064208D"/>
    <w:rsid w:val="006421D1"/>
    <w:rsid w:val="00643325"/>
    <w:rsid w:val="00643475"/>
    <w:rsid w:val="00643791"/>
    <w:rsid w:val="0064396A"/>
    <w:rsid w:val="00643E8E"/>
    <w:rsid w:val="00644929"/>
    <w:rsid w:val="006451CC"/>
    <w:rsid w:val="006454E4"/>
    <w:rsid w:val="0064582A"/>
    <w:rsid w:val="00645C8C"/>
    <w:rsid w:val="00645FD4"/>
    <w:rsid w:val="0064624E"/>
    <w:rsid w:val="006464C4"/>
    <w:rsid w:val="006467FF"/>
    <w:rsid w:val="00647B0A"/>
    <w:rsid w:val="00647D75"/>
    <w:rsid w:val="00647E78"/>
    <w:rsid w:val="00650AAC"/>
    <w:rsid w:val="00650AB9"/>
    <w:rsid w:val="00650B41"/>
    <w:rsid w:val="00651480"/>
    <w:rsid w:val="00652B11"/>
    <w:rsid w:val="006537E2"/>
    <w:rsid w:val="00653976"/>
    <w:rsid w:val="00655733"/>
    <w:rsid w:val="00655989"/>
    <w:rsid w:val="00655ACD"/>
    <w:rsid w:val="0065675F"/>
    <w:rsid w:val="00656821"/>
    <w:rsid w:val="00656A92"/>
    <w:rsid w:val="00656DDE"/>
    <w:rsid w:val="00657A5E"/>
    <w:rsid w:val="00657D1E"/>
    <w:rsid w:val="0066011D"/>
    <w:rsid w:val="00660616"/>
    <w:rsid w:val="006607C0"/>
    <w:rsid w:val="006612BF"/>
    <w:rsid w:val="006613A6"/>
    <w:rsid w:val="00661B3E"/>
    <w:rsid w:val="00661D42"/>
    <w:rsid w:val="006627A2"/>
    <w:rsid w:val="006629FD"/>
    <w:rsid w:val="006634E6"/>
    <w:rsid w:val="00663A8C"/>
    <w:rsid w:val="00664431"/>
    <w:rsid w:val="006655EE"/>
    <w:rsid w:val="00665EA3"/>
    <w:rsid w:val="006661B3"/>
    <w:rsid w:val="0066762D"/>
    <w:rsid w:val="00667B32"/>
    <w:rsid w:val="00667EE7"/>
    <w:rsid w:val="006708E0"/>
    <w:rsid w:val="00670922"/>
    <w:rsid w:val="00670AC2"/>
    <w:rsid w:val="00670BE1"/>
    <w:rsid w:val="00670C7A"/>
    <w:rsid w:val="0067116B"/>
    <w:rsid w:val="00671AB7"/>
    <w:rsid w:val="0067218F"/>
    <w:rsid w:val="00672B3F"/>
    <w:rsid w:val="00672EA5"/>
    <w:rsid w:val="006741F2"/>
    <w:rsid w:val="00674A7A"/>
    <w:rsid w:val="00674CC3"/>
    <w:rsid w:val="00675870"/>
    <w:rsid w:val="00675C72"/>
    <w:rsid w:val="00675CC9"/>
    <w:rsid w:val="006771F9"/>
    <w:rsid w:val="006776D7"/>
    <w:rsid w:val="00677E39"/>
    <w:rsid w:val="00680092"/>
    <w:rsid w:val="006807F0"/>
    <w:rsid w:val="00680928"/>
    <w:rsid w:val="00680B3E"/>
    <w:rsid w:val="00680FD5"/>
    <w:rsid w:val="00681003"/>
    <w:rsid w:val="0068111F"/>
    <w:rsid w:val="006817BC"/>
    <w:rsid w:val="006817C9"/>
    <w:rsid w:val="00681CA1"/>
    <w:rsid w:val="00682A29"/>
    <w:rsid w:val="00682D74"/>
    <w:rsid w:val="00683465"/>
    <w:rsid w:val="006837FF"/>
    <w:rsid w:val="00683CBC"/>
    <w:rsid w:val="00683CC0"/>
    <w:rsid w:val="00683ECE"/>
    <w:rsid w:val="0068458F"/>
    <w:rsid w:val="00684867"/>
    <w:rsid w:val="00684CDB"/>
    <w:rsid w:val="0068568E"/>
    <w:rsid w:val="006858F4"/>
    <w:rsid w:val="00686844"/>
    <w:rsid w:val="00686925"/>
    <w:rsid w:val="00686FD8"/>
    <w:rsid w:val="006871AE"/>
    <w:rsid w:val="006878E6"/>
    <w:rsid w:val="00687B26"/>
    <w:rsid w:val="00690CB9"/>
    <w:rsid w:val="00691F55"/>
    <w:rsid w:val="006921CD"/>
    <w:rsid w:val="00692B43"/>
    <w:rsid w:val="00692D89"/>
    <w:rsid w:val="0069358C"/>
    <w:rsid w:val="00693667"/>
    <w:rsid w:val="00693697"/>
    <w:rsid w:val="0069386D"/>
    <w:rsid w:val="00693978"/>
    <w:rsid w:val="00694382"/>
    <w:rsid w:val="0069514A"/>
    <w:rsid w:val="00695715"/>
    <w:rsid w:val="00695AB4"/>
    <w:rsid w:val="00695BBD"/>
    <w:rsid w:val="00695FC2"/>
    <w:rsid w:val="0069610B"/>
    <w:rsid w:val="006963F4"/>
    <w:rsid w:val="00696949"/>
    <w:rsid w:val="00697052"/>
    <w:rsid w:val="00697BC9"/>
    <w:rsid w:val="00697C2C"/>
    <w:rsid w:val="006A037B"/>
    <w:rsid w:val="006A046D"/>
    <w:rsid w:val="006A1959"/>
    <w:rsid w:val="006A1E57"/>
    <w:rsid w:val="006A21BD"/>
    <w:rsid w:val="006A2251"/>
    <w:rsid w:val="006A2CC4"/>
    <w:rsid w:val="006A376F"/>
    <w:rsid w:val="006A46FB"/>
    <w:rsid w:val="006A5382"/>
    <w:rsid w:val="006A579F"/>
    <w:rsid w:val="006A5911"/>
    <w:rsid w:val="006A5E28"/>
    <w:rsid w:val="006A5EEB"/>
    <w:rsid w:val="006A5F1F"/>
    <w:rsid w:val="006A60DE"/>
    <w:rsid w:val="006A61B3"/>
    <w:rsid w:val="006A62AA"/>
    <w:rsid w:val="006A697B"/>
    <w:rsid w:val="006A7167"/>
    <w:rsid w:val="006A71C2"/>
    <w:rsid w:val="006A7AFF"/>
    <w:rsid w:val="006A7BC4"/>
    <w:rsid w:val="006B0471"/>
    <w:rsid w:val="006B0AFB"/>
    <w:rsid w:val="006B1225"/>
    <w:rsid w:val="006B178C"/>
    <w:rsid w:val="006B1816"/>
    <w:rsid w:val="006B1ED2"/>
    <w:rsid w:val="006B2099"/>
    <w:rsid w:val="006B224B"/>
    <w:rsid w:val="006B26F7"/>
    <w:rsid w:val="006B29BE"/>
    <w:rsid w:val="006B2DE1"/>
    <w:rsid w:val="006B342E"/>
    <w:rsid w:val="006B37FA"/>
    <w:rsid w:val="006B4292"/>
    <w:rsid w:val="006B4447"/>
    <w:rsid w:val="006B4630"/>
    <w:rsid w:val="006B464E"/>
    <w:rsid w:val="006B47FB"/>
    <w:rsid w:val="006B499D"/>
    <w:rsid w:val="006B50CF"/>
    <w:rsid w:val="006B5D1D"/>
    <w:rsid w:val="006B6C46"/>
    <w:rsid w:val="006B6D82"/>
    <w:rsid w:val="006B77AC"/>
    <w:rsid w:val="006B77D7"/>
    <w:rsid w:val="006C03B8"/>
    <w:rsid w:val="006C1A16"/>
    <w:rsid w:val="006C2714"/>
    <w:rsid w:val="006C28B3"/>
    <w:rsid w:val="006C3401"/>
    <w:rsid w:val="006C4567"/>
    <w:rsid w:val="006C51F6"/>
    <w:rsid w:val="006C57BF"/>
    <w:rsid w:val="006C5EC9"/>
    <w:rsid w:val="006C6059"/>
    <w:rsid w:val="006C6467"/>
    <w:rsid w:val="006C6652"/>
    <w:rsid w:val="006C6FB2"/>
    <w:rsid w:val="006C7522"/>
    <w:rsid w:val="006C7610"/>
    <w:rsid w:val="006C7E45"/>
    <w:rsid w:val="006D0008"/>
    <w:rsid w:val="006D044F"/>
    <w:rsid w:val="006D125D"/>
    <w:rsid w:val="006D2A87"/>
    <w:rsid w:val="006D2D9C"/>
    <w:rsid w:val="006D34B4"/>
    <w:rsid w:val="006D4C96"/>
    <w:rsid w:val="006D51BD"/>
    <w:rsid w:val="006D5258"/>
    <w:rsid w:val="006D5454"/>
    <w:rsid w:val="006D5CAE"/>
    <w:rsid w:val="006D6AA8"/>
    <w:rsid w:val="006D6F08"/>
    <w:rsid w:val="006E062C"/>
    <w:rsid w:val="006E137D"/>
    <w:rsid w:val="006E1A15"/>
    <w:rsid w:val="006E1C82"/>
    <w:rsid w:val="006E28B7"/>
    <w:rsid w:val="006E2A9B"/>
    <w:rsid w:val="006E3310"/>
    <w:rsid w:val="006E356D"/>
    <w:rsid w:val="006E3D41"/>
    <w:rsid w:val="006E479A"/>
    <w:rsid w:val="006E4CBB"/>
    <w:rsid w:val="006E4E39"/>
    <w:rsid w:val="006E51B5"/>
    <w:rsid w:val="006E565E"/>
    <w:rsid w:val="006E58AD"/>
    <w:rsid w:val="006E610B"/>
    <w:rsid w:val="006E6679"/>
    <w:rsid w:val="006E673D"/>
    <w:rsid w:val="006E730D"/>
    <w:rsid w:val="006E7A1D"/>
    <w:rsid w:val="006E7D3B"/>
    <w:rsid w:val="006F0E7E"/>
    <w:rsid w:val="006F1B70"/>
    <w:rsid w:val="006F2361"/>
    <w:rsid w:val="006F341D"/>
    <w:rsid w:val="006F3772"/>
    <w:rsid w:val="006F3CDE"/>
    <w:rsid w:val="006F4CEE"/>
    <w:rsid w:val="006F4DDE"/>
    <w:rsid w:val="006F58D4"/>
    <w:rsid w:val="006F5E40"/>
    <w:rsid w:val="006F641F"/>
    <w:rsid w:val="006F6582"/>
    <w:rsid w:val="006F7EC9"/>
    <w:rsid w:val="0070063C"/>
    <w:rsid w:val="007009C5"/>
    <w:rsid w:val="00700AFB"/>
    <w:rsid w:val="0070128E"/>
    <w:rsid w:val="0070231B"/>
    <w:rsid w:val="007023A8"/>
    <w:rsid w:val="0070346E"/>
    <w:rsid w:val="00703C6A"/>
    <w:rsid w:val="00703D90"/>
    <w:rsid w:val="007044ED"/>
    <w:rsid w:val="007045D5"/>
    <w:rsid w:val="00704EDB"/>
    <w:rsid w:val="007052A1"/>
    <w:rsid w:val="007060DC"/>
    <w:rsid w:val="00706101"/>
    <w:rsid w:val="00706571"/>
    <w:rsid w:val="00706CD3"/>
    <w:rsid w:val="00707072"/>
    <w:rsid w:val="00707D61"/>
    <w:rsid w:val="00710DD0"/>
    <w:rsid w:val="007112FC"/>
    <w:rsid w:val="00712287"/>
    <w:rsid w:val="00712772"/>
    <w:rsid w:val="00712A4C"/>
    <w:rsid w:val="00712EB3"/>
    <w:rsid w:val="00712FB2"/>
    <w:rsid w:val="007132D7"/>
    <w:rsid w:val="007133CE"/>
    <w:rsid w:val="00713C4A"/>
    <w:rsid w:val="007148D3"/>
    <w:rsid w:val="00714CF0"/>
    <w:rsid w:val="00714E1A"/>
    <w:rsid w:val="0071508D"/>
    <w:rsid w:val="007151F6"/>
    <w:rsid w:val="0071545E"/>
    <w:rsid w:val="00715B9A"/>
    <w:rsid w:val="00717375"/>
    <w:rsid w:val="00720513"/>
    <w:rsid w:val="007206F2"/>
    <w:rsid w:val="0072158E"/>
    <w:rsid w:val="00722A3B"/>
    <w:rsid w:val="00722A9D"/>
    <w:rsid w:val="00723077"/>
    <w:rsid w:val="00723152"/>
    <w:rsid w:val="00723C52"/>
    <w:rsid w:val="00723E52"/>
    <w:rsid w:val="00723FBC"/>
    <w:rsid w:val="00724CA4"/>
    <w:rsid w:val="00724CEB"/>
    <w:rsid w:val="00724D5C"/>
    <w:rsid w:val="007250E6"/>
    <w:rsid w:val="007256D7"/>
    <w:rsid w:val="007257D0"/>
    <w:rsid w:val="00725812"/>
    <w:rsid w:val="00726662"/>
    <w:rsid w:val="00726E77"/>
    <w:rsid w:val="00726EA6"/>
    <w:rsid w:val="00727208"/>
    <w:rsid w:val="00727558"/>
    <w:rsid w:val="00727680"/>
    <w:rsid w:val="00730564"/>
    <w:rsid w:val="00730A9D"/>
    <w:rsid w:val="00731CA2"/>
    <w:rsid w:val="007335A5"/>
    <w:rsid w:val="0073447C"/>
    <w:rsid w:val="007348B1"/>
    <w:rsid w:val="007348B6"/>
    <w:rsid w:val="00734E61"/>
    <w:rsid w:val="0073523E"/>
    <w:rsid w:val="00735466"/>
    <w:rsid w:val="00735953"/>
    <w:rsid w:val="007362A6"/>
    <w:rsid w:val="00736C1B"/>
    <w:rsid w:val="00736D7D"/>
    <w:rsid w:val="0073731A"/>
    <w:rsid w:val="0073741A"/>
    <w:rsid w:val="0073759E"/>
    <w:rsid w:val="00737D2E"/>
    <w:rsid w:val="007402B6"/>
    <w:rsid w:val="00740B53"/>
    <w:rsid w:val="00740E58"/>
    <w:rsid w:val="007413AA"/>
    <w:rsid w:val="007419D1"/>
    <w:rsid w:val="00741B21"/>
    <w:rsid w:val="00742269"/>
    <w:rsid w:val="00742301"/>
    <w:rsid w:val="0074239D"/>
    <w:rsid w:val="00743357"/>
    <w:rsid w:val="007445A0"/>
    <w:rsid w:val="007445BF"/>
    <w:rsid w:val="007447DB"/>
    <w:rsid w:val="00744834"/>
    <w:rsid w:val="0074524B"/>
    <w:rsid w:val="00747041"/>
    <w:rsid w:val="00747796"/>
    <w:rsid w:val="00747894"/>
    <w:rsid w:val="00747CAA"/>
    <w:rsid w:val="00747D63"/>
    <w:rsid w:val="00747D8B"/>
    <w:rsid w:val="007506C8"/>
    <w:rsid w:val="00751228"/>
    <w:rsid w:val="007512CB"/>
    <w:rsid w:val="007522B2"/>
    <w:rsid w:val="0075342C"/>
    <w:rsid w:val="00753CFC"/>
    <w:rsid w:val="00753DD0"/>
    <w:rsid w:val="00754012"/>
    <w:rsid w:val="007545E2"/>
    <w:rsid w:val="007550D9"/>
    <w:rsid w:val="007552DE"/>
    <w:rsid w:val="007556F2"/>
    <w:rsid w:val="00755A46"/>
    <w:rsid w:val="007564A5"/>
    <w:rsid w:val="00756C3A"/>
    <w:rsid w:val="00756E85"/>
    <w:rsid w:val="007571E1"/>
    <w:rsid w:val="00757317"/>
    <w:rsid w:val="007574FC"/>
    <w:rsid w:val="007604B2"/>
    <w:rsid w:val="00761BDD"/>
    <w:rsid w:val="00762AFE"/>
    <w:rsid w:val="00762E74"/>
    <w:rsid w:val="007631DF"/>
    <w:rsid w:val="00763541"/>
    <w:rsid w:val="00764828"/>
    <w:rsid w:val="007648C3"/>
    <w:rsid w:val="00765281"/>
    <w:rsid w:val="00766BAD"/>
    <w:rsid w:val="00766E19"/>
    <w:rsid w:val="007674F4"/>
    <w:rsid w:val="00767953"/>
    <w:rsid w:val="007703A4"/>
    <w:rsid w:val="00770852"/>
    <w:rsid w:val="00770DCA"/>
    <w:rsid w:val="007725E8"/>
    <w:rsid w:val="007727F5"/>
    <w:rsid w:val="007729A2"/>
    <w:rsid w:val="007739AD"/>
    <w:rsid w:val="00773A6B"/>
    <w:rsid w:val="00773AF6"/>
    <w:rsid w:val="007740D4"/>
    <w:rsid w:val="007746BA"/>
    <w:rsid w:val="00774748"/>
    <w:rsid w:val="007755F2"/>
    <w:rsid w:val="007756AB"/>
    <w:rsid w:val="00775D11"/>
    <w:rsid w:val="00776394"/>
    <w:rsid w:val="00776971"/>
    <w:rsid w:val="007769C2"/>
    <w:rsid w:val="00776A6E"/>
    <w:rsid w:val="007776A6"/>
    <w:rsid w:val="007800A5"/>
    <w:rsid w:val="00780A80"/>
    <w:rsid w:val="00780B53"/>
    <w:rsid w:val="00780E8D"/>
    <w:rsid w:val="00780EEA"/>
    <w:rsid w:val="007810F1"/>
    <w:rsid w:val="0078177E"/>
    <w:rsid w:val="00781B54"/>
    <w:rsid w:val="00781CF5"/>
    <w:rsid w:val="00781CF6"/>
    <w:rsid w:val="00782345"/>
    <w:rsid w:val="007828F3"/>
    <w:rsid w:val="007829A3"/>
    <w:rsid w:val="00782B0F"/>
    <w:rsid w:val="0078300C"/>
    <w:rsid w:val="00783048"/>
    <w:rsid w:val="0078304C"/>
    <w:rsid w:val="007830C6"/>
    <w:rsid w:val="00783673"/>
    <w:rsid w:val="007838D8"/>
    <w:rsid w:val="00783FE6"/>
    <w:rsid w:val="0078483D"/>
    <w:rsid w:val="00784F7D"/>
    <w:rsid w:val="0078503E"/>
    <w:rsid w:val="00785490"/>
    <w:rsid w:val="00785CCC"/>
    <w:rsid w:val="00786ADC"/>
    <w:rsid w:val="00786E64"/>
    <w:rsid w:val="00791980"/>
    <w:rsid w:val="00791B4B"/>
    <w:rsid w:val="0079233B"/>
    <w:rsid w:val="007924F9"/>
    <w:rsid w:val="007925EA"/>
    <w:rsid w:val="00792E49"/>
    <w:rsid w:val="007932E9"/>
    <w:rsid w:val="0079383F"/>
    <w:rsid w:val="0079392C"/>
    <w:rsid w:val="00793CD8"/>
    <w:rsid w:val="00793DFE"/>
    <w:rsid w:val="00793EDD"/>
    <w:rsid w:val="00793F91"/>
    <w:rsid w:val="00794566"/>
    <w:rsid w:val="00794B20"/>
    <w:rsid w:val="0079591E"/>
    <w:rsid w:val="00795996"/>
    <w:rsid w:val="00795C92"/>
    <w:rsid w:val="00796038"/>
    <w:rsid w:val="00796231"/>
    <w:rsid w:val="00796359"/>
    <w:rsid w:val="00796434"/>
    <w:rsid w:val="00797070"/>
    <w:rsid w:val="0079732D"/>
    <w:rsid w:val="0079736D"/>
    <w:rsid w:val="00797831"/>
    <w:rsid w:val="00797BAC"/>
    <w:rsid w:val="00797E2B"/>
    <w:rsid w:val="007A0B81"/>
    <w:rsid w:val="007A190E"/>
    <w:rsid w:val="007A1B49"/>
    <w:rsid w:val="007A1B64"/>
    <w:rsid w:val="007A1CB3"/>
    <w:rsid w:val="007A1E17"/>
    <w:rsid w:val="007A21D2"/>
    <w:rsid w:val="007A22B4"/>
    <w:rsid w:val="007A2BAC"/>
    <w:rsid w:val="007A306F"/>
    <w:rsid w:val="007A428D"/>
    <w:rsid w:val="007A43A6"/>
    <w:rsid w:val="007A4D9A"/>
    <w:rsid w:val="007A5276"/>
    <w:rsid w:val="007A56D1"/>
    <w:rsid w:val="007A57F1"/>
    <w:rsid w:val="007A58A6"/>
    <w:rsid w:val="007A76B5"/>
    <w:rsid w:val="007A7B86"/>
    <w:rsid w:val="007B0A07"/>
    <w:rsid w:val="007B1239"/>
    <w:rsid w:val="007B146E"/>
    <w:rsid w:val="007B1ABA"/>
    <w:rsid w:val="007B1D64"/>
    <w:rsid w:val="007B298C"/>
    <w:rsid w:val="007B29AE"/>
    <w:rsid w:val="007B2CA9"/>
    <w:rsid w:val="007B313A"/>
    <w:rsid w:val="007B3D2D"/>
    <w:rsid w:val="007B4D19"/>
    <w:rsid w:val="007B50AE"/>
    <w:rsid w:val="007B51D8"/>
    <w:rsid w:val="007B51DF"/>
    <w:rsid w:val="007B5FB1"/>
    <w:rsid w:val="007B6180"/>
    <w:rsid w:val="007B66B8"/>
    <w:rsid w:val="007B7371"/>
    <w:rsid w:val="007B73DE"/>
    <w:rsid w:val="007B73F2"/>
    <w:rsid w:val="007B795F"/>
    <w:rsid w:val="007C05DD"/>
    <w:rsid w:val="007C0F6B"/>
    <w:rsid w:val="007C1182"/>
    <w:rsid w:val="007C14AA"/>
    <w:rsid w:val="007C16B6"/>
    <w:rsid w:val="007C2429"/>
    <w:rsid w:val="007C2D43"/>
    <w:rsid w:val="007C2E1F"/>
    <w:rsid w:val="007C3B6E"/>
    <w:rsid w:val="007C3D18"/>
    <w:rsid w:val="007C4177"/>
    <w:rsid w:val="007C447C"/>
    <w:rsid w:val="007C4C78"/>
    <w:rsid w:val="007C5EC4"/>
    <w:rsid w:val="007C6013"/>
    <w:rsid w:val="007C60BF"/>
    <w:rsid w:val="007C645F"/>
    <w:rsid w:val="007C6A07"/>
    <w:rsid w:val="007C75A1"/>
    <w:rsid w:val="007C7715"/>
    <w:rsid w:val="007C77A5"/>
    <w:rsid w:val="007D022C"/>
    <w:rsid w:val="007D04E5"/>
    <w:rsid w:val="007D08B6"/>
    <w:rsid w:val="007D0B5E"/>
    <w:rsid w:val="007D0FE1"/>
    <w:rsid w:val="007D2516"/>
    <w:rsid w:val="007D2615"/>
    <w:rsid w:val="007D406C"/>
    <w:rsid w:val="007D4E05"/>
    <w:rsid w:val="007D4E8F"/>
    <w:rsid w:val="007D5901"/>
    <w:rsid w:val="007D63EE"/>
    <w:rsid w:val="007D6CB9"/>
    <w:rsid w:val="007D6D39"/>
    <w:rsid w:val="007D7482"/>
    <w:rsid w:val="007D7526"/>
    <w:rsid w:val="007D7677"/>
    <w:rsid w:val="007E07B3"/>
    <w:rsid w:val="007E10CB"/>
    <w:rsid w:val="007E1CD0"/>
    <w:rsid w:val="007E264A"/>
    <w:rsid w:val="007E27CF"/>
    <w:rsid w:val="007E3AF3"/>
    <w:rsid w:val="007E3D21"/>
    <w:rsid w:val="007E4610"/>
    <w:rsid w:val="007E4715"/>
    <w:rsid w:val="007E4D70"/>
    <w:rsid w:val="007E505B"/>
    <w:rsid w:val="007E5C45"/>
    <w:rsid w:val="007E7091"/>
    <w:rsid w:val="007E726B"/>
    <w:rsid w:val="007E7A9E"/>
    <w:rsid w:val="007E7D4A"/>
    <w:rsid w:val="007E7EC0"/>
    <w:rsid w:val="007E7ED2"/>
    <w:rsid w:val="007E7F86"/>
    <w:rsid w:val="007F0010"/>
    <w:rsid w:val="007F00A5"/>
    <w:rsid w:val="007F03F6"/>
    <w:rsid w:val="007F0B1D"/>
    <w:rsid w:val="007F0B4A"/>
    <w:rsid w:val="007F138C"/>
    <w:rsid w:val="007F1980"/>
    <w:rsid w:val="007F19E0"/>
    <w:rsid w:val="007F1BDA"/>
    <w:rsid w:val="007F26A0"/>
    <w:rsid w:val="007F3198"/>
    <w:rsid w:val="007F3981"/>
    <w:rsid w:val="007F39E3"/>
    <w:rsid w:val="007F3A55"/>
    <w:rsid w:val="007F3C08"/>
    <w:rsid w:val="007F548C"/>
    <w:rsid w:val="007F610E"/>
    <w:rsid w:val="007F6B45"/>
    <w:rsid w:val="007F7514"/>
    <w:rsid w:val="007F7E6F"/>
    <w:rsid w:val="0080060B"/>
    <w:rsid w:val="0080088C"/>
    <w:rsid w:val="0080141D"/>
    <w:rsid w:val="008014DE"/>
    <w:rsid w:val="00801D11"/>
    <w:rsid w:val="00801D6F"/>
    <w:rsid w:val="00801ECC"/>
    <w:rsid w:val="008027D2"/>
    <w:rsid w:val="00802A3D"/>
    <w:rsid w:val="00802E5B"/>
    <w:rsid w:val="00802E7D"/>
    <w:rsid w:val="00803043"/>
    <w:rsid w:val="00803798"/>
    <w:rsid w:val="00803B4D"/>
    <w:rsid w:val="00803FAE"/>
    <w:rsid w:val="0080427D"/>
    <w:rsid w:val="00804360"/>
    <w:rsid w:val="0080461E"/>
    <w:rsid w:val="00804B0E"/>
    <w:rsid w:val="0080524E"/>
    <w:rsid w:val="008055CB"/>
    <w:rsid w:val="00805C6B"/>
    <w:rsid w:val="00805D28"/>
    <w:rsid w:val="0080605F"/>
    <w:rsid w:val="008068FE"/>
    <w:rsid w:val="00807516"/>
    <w:rsid w:val="00807564"/>
    <w:rsid w:val="00807601"/>
    <w:rsid w:val="00807786"/>
    <w:rsid w:val="00807864"/>
    <w:rsid w:val="00807DAC"/>
    <w:rsid w:val="008103E7"/>
    <w:rsid w:val="00810A37"/>
    <w:rsid w:val="00811FCB"/>
    <w:rsid w:val="00813C32"/>
    <w:rsid w:val="00814038"/>
    <w:rsid w:val="008152EE"/>
    <w:rsid w:val="00815405"/>
    <w:rsid w:val="008156D0"/>
    <w:rsid w:val="008158D6"/>
    <w:rsid w:val="0081600C"/>
    <w:rsid w:val="00816794"/>
    <w:rsid w:val="00816FFD"/>
    <w:rsid w:val="00817196"/>
    <w:rsid w:val="00817714"/>
    <w:rsid w:val="00817AAD"/>
    <w:rsid w:val="00817ABB"/>
    <w:rsid w:val="00817CD4"/>
    <w:rsid w:val="00820599"/>
    <w:rsid w:val="00820752"/>
    <w:rsid w:val="008207E3"/>
    <w:rsid w:val="0082089A"/>
    <w:rsid w:val="008217E8"/>
    <w:rsid w:val="008221EC"/>
    <w:rsid w:val="008222FE"/>
    <w:rsid w:val="00822A52"/>
    <w:rsid w:val="00823181"/>
    <w:rsid w:val="008235DB"/>
    <w:rsid w:val="0082373B"/>
    <w:rsid w:val="008239FA"/>
    <w:rsid w:val="00824AB4"/>
    <w:rsid w:val="00824C90"/>
    <w:rsid w:val="0082556A"/>
    <w:rsid w:val="00825C42"/>
    <w:rsid w:val="00825D25"/>
    <w:rsid w:val="008268E8"/>
    <w:rsid w:val="00826BAF"/>
    <w:rsid w:val="00826E9E"/>
    <w:rsid w:val="008279EA"/>
    <w:rsid w:val="00827D6F"/>
    <w:rsid w:val="00827E20"/>
    <w:rsid w:val="00830446"/>
    <w:rsid w:val="00831161"/>
    <w:rsid w:val="0083134F"/>
    <w:rsid w:val="008318DA"/>
    <w:rsid w:val="0083291C"/>
    <w:rsid w:val="0083308C"/>
    <w:rsid w:val="00833684"/>
    <w:rsid w:val="00833B15"/>
    <w:rsid w:val="00834CA5"/>
    <w:rsid w:val="00835B76"/>
    <w:rsid w:val="00835F80"/>
    <w:rsid w:val="00835F94"/>
    <w:rsid w:val="008376AC"/>
    <w:rsid w:val="00837BB3"/>
    <w:rsid w:val="00840B96"/>
    <w:rsid w:val="0084186E"/>
    <w:rsid w:val="00841AAC"/>
    <w:rsid w:val="008444E8"/>
    <w:rsid w:val="00844C59"/>
    <w:rsid w:val="00844E80"/>
    <w:rsid w:val="00845BA1"/>
    <w:rsid w:val="00845FF1"/>
    <w:rsid w:val="00846727"/>
    <w:rsid w:val="00846E1F"/>
    <w:rsid w:val="00846FE7"/>
    <w:rsid w:val="00847228"/>
    <w:rsid w:val="008476E7"/>
    <w:rsid w:val="00847889"/>
    <w:rsid w:val="00847892"/>
    <w:rsid w:val="00847A40"/>
    <w:rsid w:val="00847B2E"/>
    <w:rsid w:val="00850CE0"/>
    <w:rsid w:val="008514DD"/>
    <w:rsid w:val="0085230B"/>
    <w:rsid w:val="008531F4"/>
    <w:rsid w:val="00853314"/>
    <w:rsid w:val="00853718"/>
    <w:rsid w:val="00853E2F"/>
    <w:rsid w:val="00854441"/>
    <w:rsid w:val="0085459B"/>
    <w:rsid w:val="008551BB"/>
    <w:rsid w:val="00855370"/>
    <w:rsid w:val="00855982"/>
    <w:rsid w:val="008560B7"/>
    <w:rsid w:val="008562DE"/>
    <w:rsid w:val="00856433"/>
    <w:rsid w:val="0085652C"/>
    <w:rsid w:val="00856911"/>
    <w:rsid w:val="00857555"/>
    <w:rsid w:val="00857F33"/>
    <w:rsid w:val="008604B2"/>
    <w:rsid w:val="00860CC7"/>
    <w:rsid w:val="00861B4D"/>
    <w:rsid w:val="008626C0"/>
    <w:rsid w:val="00862AA5"/>
    <w:rsid w:val="00863479"/>
    <w:rsid w:val="008636DF"/>
    <w:rsid w:val="008637E6"/>
    <w:rsid w:val="00863EF8"/>
    <w:rsid w:val="00864ECC"/>
    <w:rsid w:val="00865116"/>
    <w:rsid w:val="00865662"/>
    <w:rsid w:val="0086590E"/>
    <w:rsid w:val="00865B97"/>
    <w:rsid w:val="00865D0B"/>
    <w:rsid w:val="00865D6A"/>
    <w:rsid w:val="008662F6"/>
    <w:rsid w:val="008669D0"/>
    <w:rsid w:val="008677FD"/>
    <w:rsid w:val="00870235"/>
    <w:rsid w:val="00870645"/>
    <w:rsid w:val="008706D4"/>
    <w:rsid w:val="00870F40"/>
    <w:rsid w:val="00870F8A"/>
    <w:rsid w:val="00871742"/>
    <w:rsid w:val="008719A4"/>
    <w:rsid w:val="00871D23"/>
    <w:rsid w:val="0087227A"/>
    <w:rsid w:val="00872392"/>
    <w:rsid w:val="00872459"/>
    <w:rsid w:val="00872BEB"/>
    <w:rsid w:val="00872E70"/>
    <w:rsid w:val="008742DA"/>
    <w:rsid w:val="00874312"/>
    <w:rsid w:val="0087437C"/>
    <w:rsid w:val="0087510D"/>
    <w:rsid w:val="00875CD7"/>
    <w:rsid w:val="00876B4D"/>
    <w:rsid w:val="00876D41"/>
    <w:rsid w:val="00876F38"/>
    <w:rsid w:val="00877AFE"/>
    <w:rsid w:val="00877CFD"/>
    <w:rsid w:val="00877F18"/>
    <w:rsid w:val="008803B7"/>
    <w:rsid w:val="0088155D"/>
    <w:rsid w:val="008817A2"/>
    <w:rsid w:val="00881A51"/>
    <w:rsid w:val="00881BCD"/>
    <w:rsid w:val="0088254D"/>
    <w:rsid w:val="00882AE2"/>
    <w:rsid w:val="008831F7"/>
    <w:rsid w:val="008836E1"/>
    <w:rsid w:val="00884AA5"/>
    <w:rsid w:val="00885866"/>
    <w:rsid w:val="00885A24"/>
    <w:rsid w:val="0088600D"/>
    <w:rsid w:val="00886253"/>
    <w:rsid w:val="00886292"/>
    <w:rsid w:val="0088658F"/>
    <w:rsid w:val="00886755"/>
    <w:rsid w:val="00886C5C"/>
    <w:rsid w:val="00887395"/>
    <w:rsid w:val="00887C50"/>
    <w:rsid w:val="00890047"/>
    <w:rsid w:val="008900E6"/>
    <w:rsid w:val="0089038E"/>
    <w:rsid w:val="00891407"/>
    <w:rsid w:val="0089345B"/>
    <w:rsid w:val="00893568"/>
    <w:rsid w:val="00893663"/>
    <w:rsid w:val="008936F5"/>
    <w:rsid w:val="0089392F"/>
    <w:rsid w:val="00893AC0"/>
    <w:rsid w:val="00893C6A"/>
    <w:rsid w:val="008941E3"/>
    <w:rsid w:val="00894277"/>
    <w:rsid w:val="008945EE"/>
    <w:rsid w:val="0089479D"/>
    <w:rsid w:val="00894A88"/>
    <w:rsid w:val="00894A8C"/>
    <w:rsid w:val="00894B82"/>
    <w:rsid w:val="00895386"/>
    <w:rsid w:val="00895A01"/>
    <w:rsid w:val="00895CDC"/>
    <w:rsid w:val="008960C3"/>
    <w:rsid w:val="00896949"/>
    <w:rsid w:val="00896FBF"/>
    <w:rsid w:val="0089750B"/>
    <w:rsid w:val="008A00CD"/>
    <w:rsid w:val="008A0C9D"/>
    <w:rsid w:val="008A1314"/>
    <w:rsid w:val="008A17EC"/>
    <w:rsid w:val="008A21FF"/>
    <w:rsid w:val="008A286E"/>
    <w:rsid w:val="008A2CE2"/>
    <w:rsid w:val="008A30AC"/>
    <w:rsid w:val="008A30AE"/>
    <w:rsid w:val="008A37D9"/>
    <w:rsid w:val="008A37F6"/>
    <w:rsid w:val="008A3D98"/>
    <w:rsid w:val="008A413F"/>
    <w:rsid w:val="008A4309"/>
    <w:rsid w:val="008A44B8"/>
    <w:rsid w:val="008A489C"/>
    <w:rsid w:val="008A51A8"/>
    <w:rsid w:val="008A54C7"/>
    <w:rsid w:val="008A5B12"/>
    <w:rsid w:val="008A5B1B"/>
    <w:rsid w:val="008A5BCE"/>
    <w:rsid w:val="008A5EAA"/>
    <w:rsid w:val="008A66E2"/>
    <w:rsid w:val="008A77D8"/>
    <w:rsid w:val="008A7C56"/>
    <w:rsid w:val="008B0015"/>
    <w:rsid w:val="008B0483"/>
    <w:rsid w:val="008B0DD5"/>
    <w:rsid w:val="008B120C"/>
    <w:rsid w:val="008B1283"/>
    <w:rsid w:val="008B153D"/>
    <w:rsid w:val="008B1540"/>
    <w:rsid w:val="008B1B5D"/>
    <w:rsid w:val="008B21F0"/>
    <w:rsid w:val="008B2DF2"/>
    <w:rsid w:val="008B318D"/>
    <w:rsid w:val="008B384D"/>
    <w:rsid w:val="008B3F69"/>
    <w:rsid w:val="008B4479"/>
    <w:rsid w:val="008B5007"/>
    <w:rsid w:val="008B51A0"/>
    <w:rsid w:val="008B5229"/>
    <w:rsid w:val="008B5563"/>
    <w:rsid w:val="008B58D7"/>
    <w:rsid w:val="008B592A"/>
    <w:rsid w:val="008B6055"/>
    <w:rsid w:val="008B6350"/>
    <w:rsid w:val="008B66D7"/>
    <w:rsid w:val="008B75D5"/>
    <w:rsid w:val="008B7B5C"/>
    <w:rsid w:val="008B7C6C"/>
    <w:rsid w:val="008B7D03"/>
    <w:rsid w:val="008C0B2A"/>
    <w:rsid w:val="008C0B5D"/>
    <w:rsid w:val="008C0C99"/>
    <w:rsid w:val="008C1CB2"/>
    <w:rsid w:val="008C1F7A"/>
    <w:rsid w:val="008C2017"/>
    <w:rsid w:val="008C2CAF"/>
    <w:rsid w:val="008C2E40"/>
    <w:rsid w:val="008C34B2"/>
    <w:rsid w:val="008C3862"/>
    <w:rsid w:val="008C3C26"/>
    <w:rsid w:val="008C3F8C"/>
    <w:rsid w:val="008C404A"/>
    <w:rsid w:val="008C42C9"/>
    <w:rsid w:val="008C4958"/>
    <w:rsid w:val="008C4BAA"/>
    <w:rsid w:val="008C4BE6"/>
    <w:rsid w:val="008C4C08"/>
    <w:rsid w:val="008C56F7"/>
    <w:rsid w:val="008C5893"/>
    <w:rsid w:val="008C5D89"/>
    <w:rsid w:val="008C6AE8"/>
    <w:rsid w:val="008C7573"/>
    <w:rsid w:val="008D0089"/>
    <w:rsid w:val="008D00A5"/>
    <w:rsid w:val="008D09A5"/>
    <w:rsid w:val="008D1799"/>
    <w:rsid w:val="008D1890"/>
    <w:rsid w:val="008D20DD"/>
    <w:rsid w:val="008D2545"/>
    <w:rsid w:val="008D30EC"/>
    <w:rsid w:val="008D345D"/>
    <w:rsid w:val="008D34F1"/>
    <w:rsid w:val="008D3927"/>
    <w:rsid w:val="008D39D8"/>
    <w:rsid w:val="008D3F95"/>
    <w:rsid w:val="008D430B"/>
    <w:rsid w:val="008D46FF"/>
    <w:rsid w:val="008D4C8D"/>
    <w:rsid w:val="008D50BB"/>
    <w:rsid w:val="008D53FD"/>
    <w:rsid w:val="008D5E33"/>
    <w:rsid w:val="008D6094"/>
    <w:rsid w:val="008D6D1A"/>
    <w:rsid w:val="008D6F42"/>
    <w:rsid w:val="008D7CA1"/>
    <w:rsid w:val="008D7F36"/>
    <w:rsid w:val="008E05A3"/>
    <w:rsid w:val="008E065E"/>
    <w:rsid w:val="008E0927"/>
    <w:rsid w:val="008E0A18"/>
    <w:rsid w:val="008E15B4"/>
    <w:rsid w:val="008E1909"/>
    <w:rsid w:val="008E28B0"/>
    <w:rsid w:val="008E2B47"/>
    <w:rsid w:val="008E39AA"/>
    <w:rsid w:val="008E3FE2"/>
    <w:rsid w:val="008E41AF"/>
    <w:rsid w:val="008E4868"/>
    <w:rsid w:val="008E540A"/>
    <w:rsid w:val="008E5758"/>
    <w:rsid w:val="008E5BAA"/>
    <w:rsid w:val="008E6CBE"/>
    <w:rsid w:val="008E7026"/>
    <w:rsid w:val="008E76A5"/>
    <w:rsid w:val="008F0281"/>
    <w:rsid w:val="008F04CF"/>
    <w:rsid w:val="008F08A4"/>
    <w:rsid w:val="008F090D"/>
    <w:rsid w:val="008F1AD6"/>
    <w:rsid w:val="008F1C4E"/>
    <w:rsid w:val="008F1EAB"/>
    <w:rsid w:val="008F2B94"/>
    <w:rsid w:val="008F33DC"/>
    <w:rsid w:val="008F461E"/>
    <w:rsid w:val="008F477F"/>
    <w:rsid w:val="008F4F98"/>
    <w:rsid w:val="008F6460"/>
    <w:rsid w:val="008F6830"/>
    <w:rsid w:val="008F692D"/>
    <w:rsid w:val="008F6AEB"/>
    <w:rsid w:val="008F6B68"/>
    <w:rsid w:val="008F7D8A"/>
    <w:rsid w:val="008F7F12"/>
    <w:rsid w:val="00900B56"/>
    <w:rsid w:val="00901816"/>
    <w:rsid w:val="00901BFE"/>
    <w:rsid w:val="00902025"/>
    <w:rsid w:val="00902350"/>
    <w:rsid w:val="00903189"/>
    <w:rsid w:val="009031BC"/>
    <w:rsid w:val="0090336B"/>
    <w:rsid w:val="009053AA"/>
    <w:rsid w:val="00905E9B"/>
    <w:rsid w:val="00906361"/>
    <w:rsid w:val="00906856"/>
    <w:rsid w:val="00906939"/>
    <w:rsid w:val="00907186"/>
    <w:rsid w:val="00907203"/>
    <w:rsid w:val="00907975"/>
    <w:rsid w:val="009104FC"/>
    <w:rsid w:val="00910711"/>
    <w:rsid w:val="009108D3"/>
    <w:rsid w:val="00910B7D"/>
    <w:rsid w:val="00910E26"/>
    <w:rsid w:val="00911333"/>
    <w:rsid w:val="00911DFB"/>
    <w:rsid w:val="00913063"/>
    <w:rsid w:val="00913539"/>
    <w:rsid w:val="00913609"/>
    <w:rsid w:val="009139D9"/>
    <w:rsid w:val="00914663"/>
    <w:rsid w:val="00914849"/>
    <w:rsid w:val="00914AD8"/>
    <w:rsid w:val="00914CE3"/>
    <w:rsid w:val="00914E1E"/>
    <w:rsid w:val="0091597C"/>
    <w:rsid w:val="00915A0C"/>
    <w:rsid w:val="00916079"/>
    <w:rsid w:val="009163B8"/>
    <w:rsid w:val="009163C9"/>
    <w:rsid w:val="009178F1"/>
    <w:rsid w:val="00917CE9"/>
    <w:rsid w:val="009200D5"/>
    <w:rsid w:val="0092061E"/>
    <w:rsid w:val="00920BF2"/>
    <w:rsid w:val="00921E50"/>
    <w:rsid w:val="00922010"/>
    <w:rsid w:val="0092274E"/>
    <w:rsid w:val="00922889"/>
    <w:rsid w:val="00922939"/>
    <w:rsid w:val="00923013"/>
    <w:rsid w:val="00923649"/>
    <w:rsid w:val="00923B23"/>
    <w:rsid w:val="009244D8"/>
    <w:rsid w:val="009247AC"/>
    <w:rsid w:val="009257F8"/>
    <w:rsid w:val="009262B9"/>
    <w:rsid w:val="009269E9"/>
    <w:rsid w:val="0092788A"/>
    <w:rsid w:val="009300E6"/>
    <w:rsid w:val="009305ED"/>
    <w:rsid w:val="00931BD9"/>
    <w:rsid w:val="00932482"/>
    <w:rsid w:val="00933233"/>
    <w:rsid w:val="00933544"/>
    <w:rsid w:val="00933887"/>
    <w:rsid w:val="009350A8"/>
    <w:rsid w:val="00935645"/>
    <w:rsid w:val="00935880"/>
    <w:rsid w:val="00935D95"/>
    <w:rsid w:val="00936002"/>
    <w:rsid w:val="009368F3"/>
    <w:rsid w:val="00936A0D"/>
    <w:rsid w:val="00937225"/>
    <w:rsid w:val="00937530"/>
    <w:rsid w:val="00940077"/>
    <w:rsid w:val="00940A8B"/>
    <w:rsid w:val="00940D10"/>
    <w:rsid w:val="00941636"/>
    <w:rsid w:val="00941B1F"/>
    <w:rsid w:val="00942F20"/>
    <w:rsid w:val="009434E1"/>
    <w:rsid w:val="00943556"/>
    <w:rsid w:val="00943742"/>
    <w:rsid w:val="009441C4"/>
    <w:rsid w:val="0094471C"/>
    <w:rsid w:val="00944BEE"/>
    <w:rsid w:val="00944D30"/>
    <w:rsid w:val="00945AAC"/>
    <w:rsid w:val="00945C05"/>
    <w:rsid w:val="00946129"/>
    <w:rsid w:val="00946808"/>
    <w:rsid w:val="00946945"/>
    <w:rsid w:val="0094697A"/>
    <w:rsid w:val="00947713"/>
    <w:rsid w:val="00950696"/>
    <w:rsid w:val="00950DE7"/>
    <w:rsid w:val="00951C22"/>
    <w:rsid w:val="00951D97"/>
    <w:rsid w:val="00952088"/>
    <w:rsid w:val="009526EF"/>
    <w:rsid w:val="00953920"/>
    <w:rsid w:val="00953D47"/>
    <w:rsid w:val="00953F99"/>
    <w:rsid w:val="00954845"/>
    <w:rsid w:val="009566C6"/>
    <w:rsid w:val="0095681E"/>
    <w:rsid w:val="00957085"/>
    <w:rsid w:val="009572D4"/>
    <w:rsid w:val="00957D46"/>
    <w:rsid w:val="00960A4D"/>
    <w:rsid w:val="00960E1C"/>
    <w:rsid w:val="00960E25"/>
    <w:rsid w:val="00960ED5"/>
    <w:rsid w:val="009617C4"/>
    <w:rsid w:val="00961921"/>
    <w:rsid w:val="00962498"/>
    <w:rsid w:val="009624FF"/>
    <w:rsid w:val="00962A57"/>
    <w:rsid w:val="00962D0E"/>
    <w:rsid w:val="00963CF7"/>
    <w:rsid w:val="009640EB"/>
    <w:rsid w:val="0096430A"/>
    <w:rsid w:val="00964D6D"/>
    <w:rsid w:val="0096554B"/>
    <w:rsid w:val="00965579"/>
    <w:rsid w:val="0096584A"/>
    <w:rsid w:val="00965C21"/>
    <w:rsid w:val="00966600"/>
    <w:rsid w:val="00966DA9"/>
    <w:rsid w:val="00967061"/>
    <w:rsid w:val="0096740C"/>
    <w:rsid w:val="0096747E"/>
    <w:rsid w:val="00970B4C"/>
    <w:rsid w:val="00970FA7"/>
    <w:rsid w:val="009717C0"/>
    <w:rsid w:val="00971936"/>
    <w:rsid w:val="00971F08"/>
    <w:rsid w:val="009728FF"/>
    <w:rsid w:val="00972E3E"/>
    <w:rsid w:val="0097468C"/>
    <w:rsid w:val="00974E0F"/>
    <w:rsid w:val="00975427"/>
    <w:rsid w:val="00975503"/>
    <w:rsid w:val="009757DB"/>
    <w:rsid w:val="0097596D"/>
    <w:rsid w:val="00975AC6"/>
    <w:rsid w:val="00975FA4"/>
    <w:rsid w:val="0097603D"/>
    <w:rsid w:val="0097641A"/>
    <w:rsid w:val="00976949"/>
    <w:rsid w:val="00977344"/>
    <w:rsid w:val="009774F6"/>
    <w:rsid w:val="00977C6F"/>
    <w:rsid w:val="00977E72"/>
    <w:rsid w:val="00980477"/>
    <w:rsid w:val="0098070A"/>
    <w:rsid w:val="00980AD6"/>
    <w:rsid w:val="00980B83"/>
    <w:rsid w:val="00981352"/>
    <w:rsid w:val="0098221C"/>
    <w:rsid w:val="00982843"/>
    <w:rsid w:val="00983467"/>
    <w:rsid w:val="009848B6"/>
    <w:rsid w:val="00984ADE"/>
    <w:rsid w:val="00985253"/>
    <w:rsid w:val="009853B3"/>
    <w:rsid w:val="009853CC"/>
    <w:rsid w:val="0098578F"/>
    <w:rsid w:val="00986A27"/>
    <w:rsid w:val="00986BBE"/>
    <w:rsid w:val="00986F24"/>
    <w:rsid w:val="009877A5"/>
    <w:rsid w:val="0098788A"/>
    <w:rsid w:val="0098788D"/>
    <w:rsid w:val="00987A32"/>
    <w:rsid w:val="00990630"/>
    <w:rsid w:val="0099097C"/>
    <w:rsid w:val="0099120D"/>
    <w:rsid w:val="00991761"/>
    <w:rsid w:val="009928FD"/>
    <w:rsid w:val="00992B9C"/>
    <w:rsid w:val="009940FE"/>
    <w:rsid w:val="0099413E"/>
    <w:rsid w:val="009941C8"/>
    <w:rsid w:val="0099496A"/>
    <w:rsid w:val="00994DCA"/>
    <w:rsid w:val="009960EC"/>
    <w:rsid w:val="009968F2"/>
    <w:rsid w:val="00996C13"/>
    <w:rsid w:val="00996D30"/>
    <w:rsid w:val="00996F39"/>
    <w:rsid w:val="009970DD"/>
    <w:rsid w:val="00997D01"/>
    <w:rsid w:val="00997FA3"/>
    <w:rsid w:val="009A0FBA"/>
    <w:rsid w:val="009A1601"/>
    <w:rsid w:val="009A238B"/>
    <w:rsid w:val="009A2A68"/>
    <w:rsid w:val="009A2B00"/>
    <w:rsid w:val="009A2FE8"/>
    <w:rsid w:val="009A3BB6"/>
    <w:rsid w:val="009A462D"/>
    <w:rsid w:val="009A47EA"/>
    <w:rsid w:val="009A512E"/>
    <w:rsid w:val="009A5CBA"/>
    <w:rsid w:val="009A6160"/>
    <w:rsid w:val="009A6DB5"/>
    <w:rsid w:val="009A7171"/>
    <w:rsid w:val="009B19F6"/>
    <w:rsid w:val="009B1F29"/>
    <w:rsid w:val="009B1F30"/>
    <w:rsid w:val="009B1FCA"/>
    <w:rsid w:val="009B2674"/>
    <w:rsid w:val="009B3AC2"/>
    <w:rsid w:val="009B431F"/>
    <w:rsid w:val="009B43C6"/>
    <w:rsid w:val="009B47BD"/>
    <w:rsid w:val="009B4958"/>
    <w:rsid w:val="009B4C1D"/>
    <w:rsid w:val="009B4DF4"/>
    <w:rsid w:val="009B5471"/>
    <w:rsid w:val="009B55F1"/>
    <w:rsid w:val="009B564E"/>
    <w:rsid w:val="009B62BE"/>
    <w:rsid w:val="009B729F"/>
    <w:rsid w:val="009B782C"/>
    <w:rsid w:val="009B7E87"/>
    <w:rsid w:val="009C0169"/>
    <w:rsid w:val="009C0FA1"/>
    <w:rsid w:val="009C181A"/>
    <w:rsid w:val="009C2561"/>
    <w:rsid w:val="009C26E2"/>
    <w:rsid w:val="009C3B1A"/>
    <w:rsid w:val="009C403E"/>
    <w:rsid w:val="009C449C"/>
    <w:rsid w:val="009C4571"/>
    <w:rsid w:val="009C496D"/>
    <w:rsid w:val="009C5259"/>
    <w:rsid w:val="009C5BB5"/>
    <w:rsid w:val="009C6B21"/>
    <w:rsid w:val="009C741C"/>
    <w:rsid w:val="009C7D02"/>
    <w:rsid w:val="009C7F86"/>
    <w:rsid w:val="009D1035"/>
    <w:rsid w:val="009D1609"/>
    <w:rsid w:val="009D18E4"/>
    <w:rsid w:val="009D220D"/>
    <w:rsid w:val="009D296E"/>
    <w:rsid w:val="009D2D29"/>
    <w:rsid w:val="009D3CFA"/>
    <w:rsid w:val="009D3F8A"/>
    <w:rsid w:val="009D4132"/>
    <w:rsid w:val="009D4785"/>
    <w:rsid w:val="009D4FBE"/>
    <w:rsid w:val="009D4FF0"/>
    <w:rsid w:val="009D55C9"/>
    <w:rsid w:val="009D5A6B"/>
    <w:rsid w:val="009D5C3C"/>
    <w:rsid w:val="009D611C"/>
    <w:rsid w:val="009D6821"/>
    <w:rsid w:val="009D6A60"/>
    <w:rsid w:val="009D703C"/>
    <w:rsid w:val="009D718F"/>
    <w:rsid w:val="009D7341"/>
    <w:rsid w:val="009D7443"/>
    <w:rsid w:val="009D7824"/>
    <w:rsid w:val="009E00C9"/>
    <w:rsid w:val="009E068F"/>
    <w:rsid w:val="009E0847"/>
    <w:rsid w:val="009E0CDB"/>
    <w:rsid w:val="009E14E0"/>
    <w:rsid w:val="009E1ADF"/>
    <w:rsid w:val="009E1CC9"/>
    <w:rsid w:val="009E209A"/>
    <w:rsid w:val="009E22DA"/>
    <w:rsid w:val="009E2AD8"/>
    <w:rsid w:val="009E35DB"/>
    <w:rsid w:val="009E4363"/>
    <w:rsid w:val="009E4369"/>
    <w:rsid w:val="009E4388"/>
    <w:rsid w:val="009E47A3"/>
    <w:rsid w:val="009E49A1"/>
    <w:rsid w:val="009E4CFA"/>
    <w:rsid w:val="009E4E71"/>
    <w:rsid w:val="009E5501"/>
    <w:rsid w:val="009E56B5"/>
    <w:rsid w:val="009E589E"/>
    <w:rsid w:val="009E5A34"/>
    <w:rsid w:val="009E5DF5"/>
    <w:rsid w:val="009E6330"/>
    <w:rsid w:val="009E677D"/>
    <w:rsid w:val="009E6CD5"/>
    <w:rsid w:val="009E760E"/>
    <w:rsid w:val="009E7810"/>
    <w:rsid w:val="009E7892"/>
    <w:rsid w:val="009E7AC6"/>
    <w:rsid w:val="009F032F"/>
    <w:rsid w:val="009F08F3"/>
    <w:rsid w:val="009F0AAA"/>
    <w:rsid w:val="009F106F"/>
    <w:rsid w:val="009F156B"/>
    <w:rsid w:val="009F1618"/>
    <w:rsid w:val="009F1E6D"/>
    <w:rsid w:val="009F344F"/>
    <w:rsid w:val="009F39D2"/>
    <w:rsid w:val="009F3A3F"/>
    <w:rsid w:val="009F438D"/>
    <w:rsid w:val="009F43AA"/>
    <w:rsid w:val="009F4577"/>
    <w:rsid w:val="009F4BB5"/>
    <w:rsid w:val="009F4BD3"/>
    <w:rsid w:val="009F528B"/>
    <w:rsid w:val="009F6130"/>
    <w:rsid w:val="009F61C5"/>
    <w:rsid w:val="009F6268"/>
    <w:rsid w:val="009F6593"/>
    <w:rsid w:val="009F67D0"/>
    <w:rsid w:val="009F775C"/>
    <w:rsid w:val="009F7BEF"/>
    <w:rsid w:val="00A008FC"/>
    <w:rsid w:val="00A024CD"/>
    <w:rsid w:val="00A02EE4"/>
    <w:rsid w:val="00A031D8"/>
    <w:rsid w:val="00A03635"/>
    <w:rsid w:val="00A03CA1"/>
    <w:rsid w:val="00A03D89"/>
    <w:rsid w:val="00A04525"/>
    <w:rsid w:val="00A045E5"/>
    <w:rsid w:val="00A048A8"/>
    <w:rsid w:val="00A04F49"/>
    <w:rsid w:val="00A055CE"/>
    <w:rsid w:val="00A058CB"/>
    <w:rsid w:val="00A063B6"/>
    <w:rsid w:val="00A063ED"/>
    <w:rsid w:val="00A065E0"/>
    <w:rsid w:val="00A07126"/>
    <w:rsid w:val="00A07209"/>
    <w:rsid w:val="00A10388"/>
    <w:rsid w:val="00A1044C"/>
    <w:rsid w:val="00A10CA3"/>
    <w:rsid w:val="00A112ED"/>
    <w:rsid w:val="00A12149"/>
    <w:rsid w:val="00A13189"/>
    <w:rsid w:val="00A13194"/>
    <w:rsid w:val="00A13E54"/>
    <w:rsid w:val="00A14469"/>
    <w:rsid w:val="00A14542"/>
    <w:rsid w:val="00A14BE3"/>
    <w:rsid w:val="00A152D3"/>
    <w:rsid w:val="00A15E20"/>
    <w:rsid w:val="00A15FD2"/>
    <w:rsid w:val="00A16471"/>
    <w:rsid w:val="00A17F63"/>
    <w:rsid w:val="00A2013A"/>
    <w:rsid w:val="00A2048A"/>
    <w:rsid w:val="00A20491"/>
    <w:rsid w:val="00A214BC"/>
    <w:rsid w:val="00A2177F"/>
    <w:rsid w:val="00A2193B"/>
    <w:rsid w:val="00A21C34"/>
    <w:rsid w:val="00A21E10"/>
    <w:rsid w:val="00A22D8B"/>
    <w:rsid w:val="00A2351A"/>
    <w:rsid w:val="00A236F3"/>
    <w:rsid w:val="00A23920"/>
    <w:rsid w:val="00A23921"/>
    <w:rsid w:val="00A23A4B"/>
    <w:rsid w:val="00A23E24"/>
    <w:rsid w:val="00A249C7"/>
    <w:rsid w:val="00A249C8"/>
    <w:rsid w:val="00A25143"/>
    <w:rsid w:val="00A256DE"/>
    <w:rsid w:val="00A25732"/>
    <w:rsid w:val="00A264A9"/>
    <w:rsid w:val="00A2658C"/>
    <w:rsid w:val="00A26DCF"/>
    <w:rsid w:val="00A26E6E"/>
    <w:rsid w:val="00A27310"/>
    <w:rsid w:val="00A2748E"/>
    <w:rsid w:val="00A2761F"/>
    <w:rsid w:val="00A27785"/>
    <w:rsid w:val="00A30187"/>
    <w:rsid w:val="00A30DCB"/>
    <w:rsid w:val="00A30E6A"/>
    <w:rsid w:val="00A313F2"/>
    <w:rsid w:val="00A328F7"/>
    <w:rsid w:val="00A32DB2"/>
    <w:rsid w:val="00A330CF"/>
    <w:rsid w:val="00A3321F"/>
    <w:rsid w:val="00A33500"/>
    <w:rsid w:val="00A33501"/>
    <w:rsid w:val="00A3448A"/>
    <w:rsid w:val="00A347C1"/>
    <w:rsid w:val="00A352AC"/>
    <w:rsid w:val="00A35F1D"/>
    <w:rsid w:val="00A36297"/>
    <w:rsid w:val="00A36D51"/>
    <w:rsid w:val="00A373F8"/>
    <w:rsid w:val="00A37DBC"/>
    <w:rsid w:val="00A40615"/>
    <w:rsid w:val="00A40A6A"/>
    <w:rsid w:val="00A40ACA"/>
    <w:rsid w:val="00A414B9"/>
    <w:rsid w:val="00A41E2B"/>
    <w:rsid w:val="00A41F55"/>
    <w:rsid w:val="00A42F96"/>
    <w:rsid w:val="00A43443"/>
    <w:rsid w:val="00A436EC"/>
    <w:rsid w:val="00A44D04"/>
    <w:rsid w:val="00A44E41"/>
    <w:rsid w:val="00A44F8A"/>
    <w:rsid w:val="00A45310"/>
    <w:rsid w:val="00A45B74"/>
    <w:rsid w:val="00A46AFE"/>
    <w:rsid w:val="00A4725A"/>
    <w:rsid w:val="00A4782E"/>
    <w:rsid w:val="00A5027E"/>
    <w:rsid w:val="00A50535"/>
    <w:rsid w:val="00A50E8A"/>
    <w:rsid w:val="00A50EAE"/>
    <w:rsid w:val="00A518A0"/>
    <w:rsid w:val="00A52147"/>
    <w:rsid w:val="00A52E1D"/>
    <w:rsid w:val="00A53A37"/>
    <w:rsid w:val="00A5435C"/>
    <w:rsid w:val="00A546FD"/>
    <w:rsid w:val="00A54702"/>
    <w:rsid w:val="00A54F0D"/>
    <w:rsid w:val="00A55270"/>
    <w:rsid w:val="00A556B8"/>
    <w:rsid w:val="00A55ABB"/>
    <w:rsid w:val="00A5662E"/>
    <w:rsid w:val="00A569BA"/>
    <w:rsid w:val="00A56A98"/>
    <w:rsid w:val="00A56A99"/>
    <w:rsid w:val="00A60740"/>
    <w:rsid w:val="00A60939"/>
    <w:rsid w:val="00A60B2A"/>
    <w:rsid w:val="00A6102B"/>
    <w:rsid w:val="00A6124E"/>
    <w:rsid w:val="00A61499"/>
    <w:rsid w:val="00A61819"/>
    <w:rsid w:val="00A6184F"/>
    <w:rsid w:val="00A62041"/>
    <w:rsid w:val="00A62A6C"/>
    <w:rsid w:val="00A62A77"/>
    <w:rsid w:val="00A6338D"/>
    <w:rsid w:val="00A63483"/>
    <w:rsid w:val="00A64688"/>
    <w:rsid w:val="00A64745"/>
    <w:rsid w:val="00A652AA"/>
    <w:rsid w:val="00A657D7"/>
    <w:rsid w:val="00A6586B"/>
    <w:rsid w:val="00A660AC"/>
    <w:rsid w:val="00A663F8"/>
    <w:rsid w:val="00A66AC1"/>
    <w:rsid w:val="00A67947"/>
    <w:rsid w:val="00A67E6C"/>
    <w:rsid w:val="00A67F03"/>
    <w:rsid w:val="00A7018E"/>
    <w:rsid w:val="00A712B7"/>
    <w:rsid w:val="00A71B2D"/>
    <w:rsid w:val="00A71B99"/>
    <w:rsid w:val="00A71D23"/>
    <w:rsid w:val="00A72C46"/>
    <w:rsid w:val="00A72ECB"/>
    <w:rsid w:val="00A73535"/>
    <w:rsid w:val="00A739D0"/>
    <w:rsid w:val="00A73B6C"/>
    <w:rsid w:val="00A73C4F"/>
    <w:rsid w:val="00A740A6"/>
    <w:rsid w:val="00A74E65"/>
    <w:rsid w:val="00A758BE"/>
    <w:rsid w:val="00A75ACB"/>
    <w:rsid w:val="00A76126"/>
    <w:rsid w:val="00A761D4"/>
    <w:rsid w:val="00A7682B"/>
    <w:rsid w:val="00A77A06"/>
    <w:rsid w:val="00A77C6D"/>
    <w:rsid w:val="00A77EC4"/>
    <w:rsid w:val="00A80299"/>
    <w:rsid w:val="00A80B9E"/>
    <w:rsid w:val="00A81360"/>
    <w:rsid w:val="00A824D1"/>
    <w:rsid w:val="00A83C1A"/>
    <w:rsid w:val="00A8465E"/>
    <w:rsid w:val="00A8567B"/>
    <w:rsid w:val="00A86379"/>
    <w:rsid w:val="00A86AB9"/>
    <w:rsid w:val="00A903CE"/>
    <w:rsid w:val="00A90F1C"/>
    <w:rsid w:val="00A910FD"/>
    <w:rsid w:val="00A92879"/>
    <w:rsid w:val="00A936DE"/>
    <w:rsid w:val="00A93CBB"/>
    <w:rsid w:val="00A93F75"/>
    <w:rsid w:val="00A9421F"/>
    <w:rsid w:val="00A9442A"/>
    <w:rsid w:val="00A94436"/>
    <w:rsid w:val="00A94604"/>
    <w:rsid w:val="00A94612"/>
    <w:rsid w:val="00A95057"/>
    <w:rsid w:val="00A961FD"/>
    <w:rsid w:val="00A967DB"/>
    <w:rsid w:val="00A9688B"/>
    <w:rsid w:val="00A97A61"/>
    <w:rsid w:val="00A97ADF"/>
    <w:rsid w:val="00AA0112"/>
    <w:rsid w:val="00AA0135"/>
    <w:rsid w:val="00AA016F"/>
    <w:rsid w:val="00AA0474"/>
    <w:rsid w:val="00AA073B"/>
    <w:rsid w:val="00AA0C0A"/>
    <w:rsid w:val="00AA1615"/>
    <w:rsid w:val="00AA194F"/>
    <w:rsid w:val="00AA1994"/>
    <w:rsid w:val="00AA1D2E"/>
    <w:rsid w:val="00AA1ED6"/>
    <w:rsid w:val="00AA2216"/>
    <w:rsid w:val="00AA2261"/>
    <w:rsid w:val="00AA2347"/>
    <w:rsid w:val="00AA2631"/>
    <w:rsid w:val="00AA4149"/>
    <w:rsid w:val="00AA45CB"/>
    <w:rsid w:val="00AA4CFB"/>
    <w:rsid w:val="00AA5070"/>
    <w:rsid w:val="00AA51D6"/>
    <w:rsid w:val="00AA5FC9"/>
    <w:rsid w:val="00AA6D25"/>
    <w:rsid w:val="00AA6E54"/>
    <w:rsid w:val="00AA7A58"/>
    <w:rsid w:val="00AA7E5B"/>
    <w:rsid w:val="00AB061A"/>
    <w:rsid w:val="00AB0BC8"/>
    <w:rsid w:val="00AB11CA"/>
    <w:rsid w:val="00AB145A"/>
    <w:rsid w:val="00AB14D9"/>
    <w:rsid w:val="00AB162E"/>
    <w:rsid w:val="00AB2416"/>
    <w:rsid w:val="00AB2948"/>
    <w:rsid w:val="00AB2A56"/>
    <w:rsid w:val="00AB3852"/>
    <w:rsid w:val="00AB4255"/>
    <w:rsid w:val="00AB46B1"/>
    <w:rsid w:val="00AB4834"/>
    <w:rsid w:val="00AB4AB8"/>
    <w:rsid w:val="00AB59D9"/>
    <w:rsid w:val="00AB5CEB"/>
    <w:rsid w:val="00AB6227"/>
    <w:rsid w:val="00AB6276"/>
    <w:rsid w:val="00AB655E"/>
    <w:rsid w:val="00AB7632"/>
    <w:rsid w:val="00AB7878"/>
    <w:rsid w:val="00AC007F"/>
    <w:rsid w:val="00AC0AE8"/>
    <w:rsid w:val="00AC152A"/>
    <w:rsid w:val="00AC1A4C"/>
    <w:rsid w:val="00AC2392"/>
    <w:rsid w:val="00AC25D5"/>
    <w:rsid w:val="00AC2ECD"/>
    <w:rsid w:val="00AC3119"/>
    <w:rsid w:val="00AC38DF"/>
    <w:rsid w:val="00AC3C15"/>
    <w:rsid w:val="00AC3F43"/>
    <w:rsid w:val="00AC49FB"/>
    <w:rsid w:val="00AC5A10"/>
    <w:rsid w:val="00AC5CDA"/>
    <w:rsid w:val="00AC609E"/>
    <w:rsid w:val="00AC66EA"/>
    <w:rsid w:val="00AC6897"/>
    <w:rsid w:val="00AC6AB8"/>
    <w:rsid w:val="00AC7583"/>
    <w:rsid w:val="00AC79DF"/>
    <w:rsid w:val="00AD0AA3"/>
    <w:rsid w:val="00AD0E02"/>
    <w:rsid w:val="00AD0E65"/>
    <w:rsid w:val="00AD0F09"/>
    <w:rsid w:val="00AD2AAC"/>
    <w:rsid w:val="00AD2AD3"/>
    <w:rsid w:val="00AD2C62"/>
    <w:rsid w:val="00AD2ED0"/>
    <w:rsid w:val="00AD3152"/>
    <w:rsid w:val="00AD3F94"/>
    <w:rsid w:val="00AD40E6"/>
    <w:rsid w:val="00AD4547"/>
    <w:rsid w:val="00AD4733"/>
    <w:rsid w:val="00AD4A5A"/>
    <w:rsid w:val="00AD4BB9"/>
    <w:rsid w:val="00AD5108"/>
    <w:rsid w:val="00AD5EC5"/>
    <w:rsid w:val="00AD6044"/>
    <w:rsid w:val="00AD6445"/>
    <w:rsid w:val="00AD6E74"/>
    <w:rsid w:val="00AD71C3"/>
    <w:rsid w:val="00AD74E5"/>
    <w:rsid w:val="00AD7C70"/>
    <w:rsid w:val="00AE02A9"/>
    <w:rsid w:val="00AE045A"/>
    <w:rsid w:val="00AE1444"/>
    <w:rsid w:val="00AE1B7F"/>
    <w:rsid w:val="00AE1CA9"/>
    <w:rsid w:val="00AE2534"/>
    <w:rsid w:val="00AE27AC"/>
    <w:rsid w:val="00AE2823"/>
    <w:rsid w:val="00AE2AF7"/>
    <w:rsid w:val="00AE40E0"/>
    <w:rsid w:val="00AE4DBA"/>
    <w:rsid w:val="00AE4F07"/>
    <w:rsid w:val="00AE54E3"/>
    <w:rsid w:val="00AE5759"/>
    <w:rsid w:val="00AE61E9"/>
    <w:rsid w:val="00AE6D83"/>
    <w:rsid w:val="00AE758B"/>
    <w:rsid w:val="00AE7765"/>
    <w:rsid w:val="00AE7F1D"/>
    <w:rsid w:val="00AF05CF"/>
    <w:rsid w:val="00AF0D71"/>
    <w:rsid w:val="00AF0F08"/>
    <w:rsid w:val="00AF189F"/>
    <w:rsid w:val="00AF1C5D"/>
    <w:rsid w:val="00AF1F71"/>
    <w:rsid w:val="00AF41C7"/>
    <w:rsid w:val="00AF42D7"/>
    <w:rsid w:val="00AF4726"/>
    <w:rsid w:val="00AF4852"/>
    <w:rsid w:val="00AF5D2A"/>
    <w:rsid w:val="00AF6232"/>
    <w:rsid w:val="00AF6742"/>
    <w:rsid w:val="00AF69FA"/>
    <w:rsid w:val="00AF77E3"/>
    <w:rsid w:val="00B006FE"/>
    <w:rsid w:val="00B007CB"/>
    <w:rsid w:val="00B01B84"/>
    <w:rsid w:val="00B01C89"/>
    <w:rsid w:val="00B0207E"/>
    <w:rsid w:val="00B020C3"/>
    <w:rsid w:val="00B02715"/>
    <w:rsid w:val="00B02743"/>
    <w:rsid w:val="00B0275B"/>
    <w:rsid w:val="00B028C5"/>
    <w:rsid w:val="00B02AA9"/>
    <w:rsid w:val="00B02FA3"/>
    <w:rsid w:val="00B0391B"/>
    <w:rsid w:val="00B041B2"/>
    <w:rsid w:val="00B04519"/>
    <w:rsid w:val="00B04594"/>
    <w:rsid w:val="00B05084"/>
    <w:rsid w:val="00B06EBA"/>
    <w:rsid w:val="00B0792E"/>
    <w:rsid w:val="00B10046"/>
    <w:rsid w:val="00B10B8F"/>
    <w:rsid w:val="00B10E64"/>
    <w:rsid w:val="00B117B2"/>
    <w:rsid w:val="00B12287"/>
    <w:rsid w:val="00B131FB"/>
    <w:rsid w:val="00B1382C"/>
    <w:rsid w:val="00B139BE"/>
    <w:rsid w:val="00B13EA9"/>
    <w:rsid w:val="00B14BB0"/>
    <w:rsid w:val="00B15109"/>
    <w:rsid w:val="00B157F9"/>
    <w:rsid w:val="00B15847"/>
    <w:rsid w:val="00B15D35"/>
    <w:rsid w:val="00B15DB9"/>
    <w:rsid w:val="00B16A60"/>
    <w:rsid w:val="00B16E44"/>
    <w:rsid w:val="00B17DA6"/>
    <w:rsid w:val="00B17F93"/>
    <w:rsid w:val="00B20256"/>
    <w:rsid w:val="00B20482"/>
    <w:rsid w:val="00B209DD"/>
    <w:rsid w:val="00B20D09"/>
    <w:rsid w:val="00B2106C"/>
    <w:rsid w:val="00B211C7"/>
    <w:rsid w:val="00B214A6"/>
    <w:rsid w:val="00B223E6"/>
    <w:rsid w:val="00B22AB1"/>
    <w:rsid w:val="00B2351E"/>
    <w:rsid w:val="00B23C02"/>
    <w:rsid w:val="00B252FC"/>
    <w:rsid w:val="00B254C3"/>
    <w:rsid w:val="00B25DDB"/>
    <w:rsid w:val="00B25EBF"/>
    <w:rsid w:val="00B2706A"/>
    <w:rsid w:val="00B27330"/>
    <w:rsid w:val="00B27441"/>
    <w:rsid w:val="00B2763F"/>
    <w:rsid w:val="00B27AAC"/>
    <w:rsid w:val="00B305AB"/>
    <w:rsid w:val="00B305F5"/>
    <w:rsid w:val="00B30929"/>
    <w:rsid w:val="00B31589"/>
    <w:rsid w:val="00B31FDA"/>
    <w:rsid w:val="00B326B4"/>
    <w:rsid w:val="00B32B96"/>
    <w:rsid w:val="00B33983"/>
    <w:rsid w:val="00B33AD2"/>
    <w:rsid w:val="00B33DD8"/>
    <w:rsid w:val="00B33FA4"/>
    <w:rsid w:val="00B346AB"/>
    <w:rsid w:val="00B34D66"/>
    <w:rsid w:val="00B35C24"/>
    <w:rsid w:val="00B35DBF"/>
    <w:rsid w:val="00B36883"/>
    <w:rsid w:val="00B36EF0"/>
    <w:rsid w:val="00B372AA"/>
    <w:rsid w:val="00B37CF2"/>
    <w:rsid w:val="00B40445"/>
    <w:rsid w:val="00B409E0"/>
    <w:rsid w:val="00B40CC1"/>
    <w:rsid w:val="00B41888"/>
    <w:rsid w:val="00B41E64"/>
    <w:rsid w:val="00B424F5"/>
    <w:rsid w:val="00B44394"/>
    <w:rsid w:val="00B45336"/>
    <w:rsid w:val="00B45A52"/>
    <w:rsid w:val="00B46175"/>
    <w:rsid w:val="00B46471"/>
    <w:rsid w:val="00B4670A"/>
    <w:rsid w:val="00B470FB"/>
    <w:rsid w:val="00B47156"/>
    <w:rsid w:val="00B47BBC"/>
    <w:rsid w:val="00B501F4"/>
    <w:rsid w:val="00B50456"/>
    <w:rsid w:val="00B505C5"/>
    <w:rsid w:val="00B50728"/>
    <w:rsid w:val="00B5076F"/>
    <w:rsid w:val="00B50F11"/>
    <w:rsid w:val="00B51AB2"/>
    <w:rsid w:val="00B5282E"/>
    <w:rsid w:val="00B531FF"/>
    <w:rsid w:val="00B53A8C"/>
    <w:rsid w:val="00B548B7"/>
    <w:rsid w:val="00B54AA0"/>
    <w:rsid w:val="00B54D81"/>
    <w:rsid w:val="00B55C58"/>
    <w:rsid w:val="00B55DB8"/>
    <w:rsid w:val="00B55DFD"/>
    <w:rsid w:val="00B563AF"/>
    <w:rsid w:val="00B5675F"/>
    <w:rsid w:val="00B56F8C"/>
    <w:rsid w:val="00B61012"/>
    <w:rsid w:val="00B6222D"/>
    <w:rsid w:val="00B62442"/>
    <w:rsid w:val="00B62CBC"/>
    <w:rsid w:val="00B62CC7"/>
    <w:rsid w:val="00B62EC4"/>
    <w:rsid w:val="00B62F84"/>
    <w:rsid w:val="00B630AD"/>
    <w:rsid w:val="00B6372F"/>
    <w:rsid w:val="00B63CEC"/>
    <w:rsid w:val="00B63EBB"/>
    <w:rsid w:val="00B64ADE"/>
    <w:rsid w:val="00B658CC"/>
    <w:rsid w:val="00B65A89"/>
    <w:rsid w:val="00B66035"/>
    <w:rsid w:val="00B6616D"/>
    <w:rsid w:val="00B662B2"/>
    <w:rsid w:val="00B664C7"/>
    <w:rsid w:val="00B66DF0"/>
    <w:rsid w:val="00B66E89"/>
    <w:rsid w:val="00B6762D"/>
    <w:rsid w:val="00B67777"/>
    <w:rsid w:val="00B67D30"/>
    <w:rsid w:val="00B703DE"/>
    <w:rsid w:val="00B704BD"/>
    <w:rsid w:val="00B71216"/>
    <w:rsid w:val="00B714F2"/>
    <w:rsid w:val="00B71A0B"/>
    <w:rsid w:val="00B72371"/>
    <w:rsid w:val="00B72C6D"/>
    <w:rsid w:val="00B739F6"/>
    <w:rsid w:val="00B74525"/>
    <w:rsid w:val="00B759BF"/>
    <w:rsid w:val="00B76852"/>
    <w:rsid w:val="00B76D48"/>
    <w:rsid w:val="00B77A06"/>
    <w:rsid w:val="00B80250"/>
    <w:rsid w:val="00B80945"/>
    <w:rsid w:val="00B80FEC"/>
    <w:rsid w:val="00B81A2D"/>
    <w:rsid w:val="00B81A6C"/>
    <w:rsid w:val="00B81DEB"/>
    <w:rsid w:val="00B82865"/>
    <w:rsid w:val="00B82A27"/>
    <w:rsid w:val="00B83859"/>
    <w:rsid w:val="00B839A0"/>
    <w:rsid w:val="00B84054"/>
    <w:rsid w:val="00B8476B"/>
    <w:rsid w:val="00B8489E"/>
    <w:rsid w:val="00B84991"/>
    <w:rsid w:val="00B85287"/>
    <w:rsid w:val="00B85DE5"/>
    <w:rsid w:val="00B87801"/>
    <w:rsid w:val="00B9058F"/>
    <w:rsid w:val="00B90EA3"/>
    <w:rsid w:val="00B90F73"/>
    <w:rsid w:val="00B910DF"/>
    <w:rsid w:val="00B9113E"/>
    <w:rsid w:val="00B91713"/>
    <w:rsid w:val="00B928BE"/>
    <w:rsid w:val="00B93B23"/>
    <w:rsid w:val="00B93B59"/>
    <w:rsid w:val="00B9406A"/>
    <w:rsid w:val="00B942BA"/>
    <w:rsid w:val="00B94ADF"/>
    <w:rsid w:val="00B9528A"/>
    <w:rsid w:val="00B9543C"/>
    <w:rsid w:val="00B9681D"/>
    <w:rsid w:val="00B96832"/>
    <w:rsid w:val="00B96CC2"/>
    <w:rsid w:val="00B977A3"/>
    <w:rsid w:val="00B9796B"/>
    <w:rsid w:val="00B97A54"/>
    <w:rsid w:val="00BA1702"/>
    <w:rsid w:val="00BA1926"/>
    <w:rsid w:val="00BA1AE5"/>
    <w:rsid w:val="00BA1B49"/>
    <w:rsid w:val="00BA2280"/>
    <w:rsid w:val="00BA233B"/>
    <w:rsid w:val="00BA234F"/>
    <w:rsid w:val="00BA236D"/>
    <w:rsid w:val="00BA28C8"/>
    <w:rsid w:val="00BA2A08"/>
    <w:rsid w:val="00BA2D0A"/>
    <w:rsid w:val="00BA2EF1"/>
    <w:rsid w:val="00BA33DA"/>
    <w:rsid w:val="00BA35BC"/>
    <w:rsid w:val="00BA3B88"/>
    <w:rsid w:val="00BA3D6B"/>
    <w:rsid w:val="00BA4474"/>
    <w:rsid w:val="00BA44A6"/>
    <w:rsid w:val="00BA505D"/>
    <w:rsid w:val="00BA52AC"/>
    <w:rsid w:val="00BA56D2"/>
    <w:rsid w:val="00BA5892"/>
    <w:rsid w:val="00BA5D11"/>
    <w:rsid w:val="00BA5D6A"/>
    <w:rsid w:val="00BA727A"/>
    <w:rsid w:val="00BA76E0"/>
    <w:rsid w:val="00BA783B"/>
    <w:rsid w:val="00BB0652"/>
    <w:rsid w:val="00BB1D6E"/>
    <w:rsid w:val="00BB2136"/>
    <w:rsid w:val="00BB239E"/>
    <w:rsid w:val="00BB2A25"/>
    <w:rsid w:val="00BB2C03"/>
    <w:rsid w:val="00BB319D"/>
    <w:rsid w:val="00BB35D6"/>
    <w:rsid w:val="00BB3B0E"/>
    <w:rsid w:val="00BB418D"/>
    <w:rsid w:val="00BB51E9"/>
    <w:rsid w:val="00BB52A2"/>
    <w:rsid w:val="00BB60B5"/>
    <w:rsid w:val="00BB657E"/>
    <w:rsid w:val="00BB67B4"/>
    <w:rsid w:val="00BB6E3C"/>
    <w:rsid w:val="00BB6F84"/>
    <w:rsid w:val="00BC06AE"/>
    <w:rsid w:val="00BC0FDC"/>
    <w:rsid w:val="00BC108F"/>
    <w:rsid w:val="00BC1BD9"/>
    <w:rsid w:val="00BC1F7E"/>
    <w:rsid w:val="00BC276D"/>
    <w:rsid w:val="00BC3053"/>
    <w:rsid w:val="00BC3130"/>
    <w:rsid w:val="00BC3640"/>
    <w:rsid w:val="00BC4D2E"/>
    <w:rsid w:val="00BC4DE3"/>
    <w:rsid w:val="00BC5116"/>
    <w:rsid w:val="00BC5A62"/>
    <w:rsid w:val="00BC5FA8"/>
    <w:rsid w:val="00BC70F5"/>
    <w:rsid w:val="00BC74A2"/>
    <w:rsid w:val="00BC7A0A"/>
    <w:rsid w:val="00BD0433"/>
    <w:rsid w:val="00BD074D"/>
    <w:rsid w:val="00BD1440"/>
    <w:rsid w:val="00BD17EB"/>
    <w:rsid w:val="00BD1A29"/>
    <w:rsid w:val="00BD263A"/>
    <w:rsid w:val="00BD2780"/>
    <w:rsid w:val="00BD35C4"/>
    <w:rsid w:val="00BD3773"/>
    <w:rsid w:val="00BD48AC"/>
    <w:rsid w:val="00BD4F27"/>
    <w:rsid w:val="00BD53CA"/>
    <w:rsid w:val="00BD5F1A"/>
    <w:rsid w:val="00BD612E"/>
    <w:rsid w:val="00BD627F"/>
    <w:rsid w:val="00BD6A38"/>
    <w:rsid w:val="00BD6B17"/>
    <w:rsid w:val="00BD6FE0"/>
    <w:rsid w:val="00BD744A"/>
    <w:rsid w:val="00BD7E74"/>
    <w:rsid w:val="00BD7E8A"/>
    <w:rsid w:val="00BE017E"/>
    <w:rsid w:val="00BE04DF"/>
    <w:rsid w:val="00BE090B"/>
    <w:rsid w:val="00BE0F01"/>
    <w:rsid w:val="00BE0F0A"/>
    <w:rsid w:val="00BE10E6"/>
    <w:rsid w:val="00BE118E"/>
    <w:rsid w:val="00BE1234"/>
    <w:rsid w:val="00BE1E3A"/>
    <w:rsid w:val="00BE2388"/>
    <w:rsid w:val="00BE2E87"/>
    <w:rsid w:val="00BE2FA6"/>
    <w:rsid w:val="00BE328B"/>
    <w:rsid w:val="00BE333F"/>
    <w:rsid w:val="00BE3827"/>
    <w:rsid w:val="00BE3CC8"/>
    <w:rsid w:val="00BE47D8"/>
    <w:rsid w:val="00BE489B"/>
    <w:rsid w:val="00BE4B19"/>
    <w:rsid w:val="00BE4B34"/>
    <w:rsid w:val="00BE4FE2"/>
    <w:rsid w:val="00BE531C"/>
    <w:rsid w:val="00BE54C1"/>
    <w:rsid w:val="00BE54E0"/>
    <w:rsid w:val="00BE583D"/>
    <w:rsid w:val="00BE583E"/>
    <w:rsid w:val="00BE5AB4"/>
    <w:rsid w:val="00BE698D"/>
    <w:rsid w:val="00BE6EC9"/>
    <w:rsid w:val="00BE7406"/>
    <w:rsid w:val="00BE752A"/>
    <w:rsid w:val="00BE7603"/>
    <w:rsid w:val="00BE782B"/>
    <w:rsid w:val="00BF118B"/>
    <w:rsid w:val="00BF15CC"/>
    <w:rsid w:val="00BF25C6"/>
    <w:rsid w:val="00BF29D1"/>
    <w:rsid w:val="00BF2A71"/>
    <w:rsid w:val="00BF31BA"/>
    <w:rsid w:val="00BF3279"/>
    <w:rsid w:val="00BF33F2"/>
    <w:rsid w:val="00BF40C2"/>
    <w:rsid w:val="00BF5656"/>
    <w:rsid w:val="00BF6256"/>
    <w:rsid w:val="00BF6A23"/>
    <w:rsid w:val="00BF6B4B"/>
    <w:rsid w:val="00BF738F"/>
    <w:rsid w:val="00BF74C7"/>
    <w:rsid w:val="00BF7DD5"/>
    <w:rsid w:val="00C00FB3"/>
    <w:rsid w:val="00C010D7"/>
    <w:rsid w:val="00C0128F"/>
    <w:rsid w:val="00C015F1"/>
    <w:rsid w:val="00C01F33"/>
    <w:rsid w:val="00C02CC6"/>
    <w:rsid w:val="00C02D88"/>
    <w:rsid w:val="00C02E8A"/>
    <w:rsid w:val="00C03BA2"/>
    <w:rsid w:val="00C03CDF"/>
    <w:rsid w:val="00C03ECD"/>
    <w:rsid w:val="00C040F7"/>
    <w:rsid w:val="00C044AB"/>
    <w:rsid w:val="00C04D81"/>
    <w:rsid w:val="00C05706"/>
    <w:rsid w:val="00C057F4"/>
    <w:rsid w:val="00C05C09"/>
    <w:rsid w:val="00C06663"/>
    <w:rsid w:val="00C0698A"/>
    <w:rsid w:val="00C06D04"/>
    <w:rsid w:val="00C07377"/>
    <w:rsid w:val="00C07E6C"/>
    <w:rsid w:val="00C10478"/>
    <w:rsid w:val="00C10B77"/>
    <w:rsid w:val="00C10D84"/>
    <w:rsid w:val="00C115EF"/>
    <w:rsid w:val="00C116F0"/>
    <w:rsid w:val="00C12107"/>
    <w:rsid w:val="00C1243D"/>
    <w:rsid w:val="00C12C3C"/>
    <w:rsid w:val="00C12E76"/>
    <w:rsid w:val="00C13B4D"/>
    <w:rsid w:val="00C1452C"/>
    <w:rsid w:val="00C148A4"/>
    <w:rsid w:val="00C14D4B"/>
    <w:rsid w:val="00C1512A"/>
    <w:rsid w:val="00C15189"/>
    <w:rsid w:val="00C151A9"/>
    <w:rsid w:val="00C154BB"/>
    <w:rsid w:val="00C17146"/>
    <w:rsid w:val="00C219A0"/>
    <w:rsid w:val="00C21A2D"/>
    <w:rsid w:val="00C22C83"/>
    <w:rsid w:val="00C2355C"/>
    <w:rsid w:val="00C23A74"/>
    <w:rsid w:val="00C241CE"/>
    <w:rsid w:val="00C2422E"/>
    <w:rsid w:val="00C24695"/>
    <w:rsid w:val="00C247E5"/>
    <w:rsid w:val="00C25149"/>
    <w:rsid w:val="00C25163"/>
    <w:rsid w:val="00C26B18"/>
    <w:rsid w:val="00C27083"/>
    <w:rsid w:val="00C275AA"/>
    <w:rsid w:val="00C275F9"/>
    <w:rsid w:val="00C279B5"/>
    <w:rsid w:val="00C27C45"/>
    <w:rsid w:val="00C27D70"/>
    <w:rsid w:val="00C27F25"/>
    <w:rsid w:val="00C30062"/>
    <w:rsid w:val="00C30098"/>
    <w:rsid w:val="00C30329"/>
    <w:rsid w:val="00C30700"/>
    <w:rsid w:val="00C3093A"/>
    <w:rsid w:val="00C30F8D"/>
    <w:rsid w:val="00C31519"/>
    <w:rsid w:val="00C3179B"/>
    <w:rsid w:val="00C31CA1"/>
    <w:rsid w:val="00C32300"/>
    <w:rsid w:val="00C3339E"/>
    <w:rsid w:val="00C33409"/>
    <w:rsid w:val="00C33A95"/>
    <w:rsid w:val="00C33E9D"/>
    <w:rsid w:val="00C33F4D"/>
    <w:rsid w:val="00C34A7D"/>
    <w:rsid w:val="00C34AE6"/>
    <w:rsid w:val="00C34CEA"/>
    <w:rsid w:val="00C35761"/>
    <w:rsid w:val="00C35B56"/>
    <w:rsid w:val="00C361A1"/>
    <w:rsid w:val="00C37192"/>
    <w:rsid w:val="00C3719D"/>
    <w:rsid w:val="00C37CB2"/>
    <w:rsid w:val="00C400C4"/>
    <w:rsid w:val="00C41317"/>
    <w:rsid w:val="00C41728"/>
    <w:rsid w:val="00C41733"/>
    <w:rsid w:val="00C42324"/>
    <w:rsid w:val="00C43534"/>
    <w:rsid w:val="00C43893"/>
    <w:rsid w:val="00C447EB"/>
    <w:rsid w:val="00C44F56"/>
    <w:rsid w:val="00C44F8A"/>
    <w:rsid w:val="00C4573D"/>
    <w:rsid w:val="00C45FBB"/>
    <w:rsid w:val="00C46229"/>
    <w:rsid w:val="00C4662B"/>
    <w:rsid w:val="00C46D10"/>
    <w:rsid w:val="00C473A5"/>
    <w:rsid w:val="00C47985"/>
    <w:rsid w:val="00C50832"/>
    <w:rsid w:val="00C51099"/>
    <w:rsid w:val="00C51B1F"/>
    <w:rsid w:val="00C51BFA"/>
    <w:rsid w:val="00C52B38"/>
    <w:rsid w:val="00C54236"/>
    <w:rsid w:val="00C54995"/>
    <w:rsid w:val="00C54C24"/>
    <w:rsid w:val="00C54D41"/>
    <w:rsid w:val="00C54FD6"/>
    <w:rsid w:val="00C55191"/>
    <w:rsid w:val="00C552B1"/>
    <w:rsid w:val="00C55740"/>
    <w:rsid w:val="00C55765"/>
    <w:rsid w:val="00C55A1D"/>
    <w:rsid w:val="00C56B50"/>
    <w:rsid w:val="00C572D2"/>
    <w:rsid w:val="00C60399"/>
    <w:rsid w:val="00C60746"/>
    <w:rsid w:val="00C60783"/>
    <w:rsid w:val="00C60B3D"/>
    <w:rsid w:val="00C60F5A"/>
    <w:rsid w:val="00C616A6"/>
    <w:rsid w:val="00C618A3"/>
    <w:rsid w:val="00C636FD"/>
    <w:rsid w:val="00C6396D"/>
    <w:rsid w:val="00C64672"/>
    <w:rsid w:val="00C6614E"/>
    <w:rsid w:val="00C6630F"/>
    <w:rsid w:val="00C66B53"/>
    <w:rsid w:val="00C67578"/>
    <w:rsid w:val="00C67E3A"/>
    <w:rsid w:val="00C70697"/>
    <w:rsid w:val="00C70BA6"/>
    <w:rsid w:val="00C712B1"/>
    <w:rsid w:val="00C7131C"/>
    <w:rsid w:val="00C71375"/>
    <w:rsid w:val="00C71567"/>
    <w:rsid w:val="00C717C1"/>
    <w:rsid w:val="00C717CC"/>
    <w:rsid w:val="00C718A9"/>
    <w:rsid w:val="00C71E44"/>
    <w:rsid w:val="00C72093"/>
    <w:rsid w:val="00C72767"/>
    <w:rsid w:val="00C72EF4"/>
    <w:rsid w:val="00C730A8"/>
    <w:rsid w:val="00C739AE"/>
    <w:rsid w:val="00C73A7B"/>
    <w:rsid w:val="00C740CD"/>
    <w:rsid w:val="00C74109"/>
    <w:rsid w:val="00C7432D"/>
    <w:rsid w:val="00C744FE"/>
    <w:rsid w:val="00C74B6F"/>
    <w:rsid w:val="00C74C6E"/>
    <w:rsid w:val="00C75D2F"/>
    <w:rsid w:val="00C76487"/>
    <w:rsid w:val="00C764F0"/>
    <w:rsid w:val="00C7677A"/>
    <w:rsid w:val="00C767BE"/>
    <w:rsid w:val="00C769CD"/>
    <w:rsid w:val="00C76DC4"/>
    <w:rsid w:val="00C76E3C"/>
    <w:rsid w:val="00C77372"/>
    <w:rsid w:val="00C77C83"/>
    <w:rsid w:val="00C801B7"/>
    <w:rsid w:val="00C81568"/>
    <w:rsid w:val="00C82347"/>
    <w:rsid w:val="00C82440"/>
    <w:rsid w:val="00C824D7"/>
    <w:rsid w:val="00C82652"/>
    <w:rsid w:val="00C83727"/>
    <w:rsid w:val="00C84341"/>
    <w:rsid w:val="00C846FC"/>
    <w:rsid w:val="00C84C5A"/>
    <w:rsid w:val="00C84FCA"/>
    <w:rsid w:val="00C850AF"/>
    <w:rsid w:val="00C850F7"/>
    <w:rsid w:val="00C85197"/>
    <w:rsid w:val="00C853B5"/>
    <w:rsid w:val="00C85801"/>
    <w:rsid w:val="00C86D76"/>
    <w:rsid w:val="00C87CEA"/>
    <w:rsid w:val="00C9027A"/>
    <w:rsid w:val="00C9056E"/>
    <w:rsid w:val="00C9068E"/>
    <w:rsid w:val="00C9140D"/>
    <w:rsid w:val="00C91B0D"/>
    <w:rsid w:val="00C91D61"/>
    <w:rsid w:val="00C9239E"/>
    <w:rsid w:val="00C92BD6"/>
    <w:rsid w:val="00C934D2"/>
    <w:rsid w:val="00C93814"/>
    <w:rsid w:val="00C93C4B"/>
    <w:rsid w:val="00C944AB"/>
    <w:rsid w:val="00C94863"/>
    <w:rsid w:val="00C94ADE"/>
    <w:rsid w:val="00C9525D"/>
    <w:rsid w:val="00C9529D"/>
    <w:rsid w:val="00C95B40"/>
    <w:rsid w:val="00C96D27"/>
    <w:rsid w:val="00C96D89"/>
    <w:rsid w:val="00C976B7"/>
    <w:rsid w:val="00CA006F"/>
    <w:rsid w:val="00CA0130"/>
    <w:rsid w:val="00CA04CE"/>
    <w:rsid w:val="00CA0A36"/>
    <w:rsid w:val="00CA0F4C"/>
    <w:rsid w:val="00CA1DC0"/>
    <w:rsid w:val="00CA1ED8"/>
    <w:rsid w:val="00CA222D"/>
    <w:rsid w:val="00CA2622"/>
    <w:rsid w:val="00CA26C9"/>
    <w:rsid w:val="00CA4664"/>
    <w:rsid w:val="00CA469D"/>
    <w:rsid w:val="00CA52DE"/>
    <w:rsid w:val="00CA549A"/>
    <w:rsid w:val="00CA55AE"/>
    <w:rsid w:val="00CA6054"/>
    <w:rsid w:val="00CA6328"/>
    <w:rsid w:val="00CA67BE"/>
    <w:rsid w:val="00CA698E"/>
    <w:rsid w:val="00CA72FA"/>
    <w:rsid w:val="00CA73E9"/>
    <w:rsid w:val="00CB0547"/>
    <w:rsid w:val="00CB0656"/>
    <w:rsid w:val="00CB0916"/>
    <w:rsid w:val="00CB11D7"/>
    <w:rsid w:val="00CB184C"/>
    <w:rsid w:val="00CB1F63"/>
    <w:rsid w:val="00CB2264"/>
    <w:rsid w:val="00CB2599"/>
    <w:rsid w:val="00CB3747"/>
    <w:rsid w:val="00CB46FB"/>
    <w:rsid w:val="00CB470B"/>
    <w:rsid w:val="00CB5824"/>
    <w:rsid w:val="00CB5EE1"/>
    <w:rsid w:val="00CB630F"/>
    <w:rsid w:val="00CB7170"/>
    <w:rsid w:val="00CB75A6"/>
    <w:rsid w:val="00CB7821"/>
    <w:rsid w:val="00CB7EAE"/>
    <w:rsid w:val="00CC00DD"/>
    <w:rsid w:val="00CC02C0"/>
    <w:rsid w:val="00CC03D6"/>
    <w:rsid w:val="00CC040E"/>
    <w:rsid w:val="00CC0488"/>
    <w:rsid w:val="00CC04D7"/>
    <w:rsid w:val="00CC070E"/>
    <w:rsid w:val="00CC10F5"/>
    <w:rsid w:val="00CC111F"/>
    <w:rsid w:val="00CC130A"/>
    <w:rsid w:val="00CC1E1F"/>
    <w:rsid w:val="00CC1E6F"/>
    <w:rsid w:val="00CC2011"/>
    <w:rsid w:val="00CC2684"/>
    <w:rsid w:val="00CC2DB5"/>
    <w:rsid w:val="00CC32F1"/>
    <w:rsid w:val="00CC37D2"/>
    <w:rsid w:val="00CC3EA0"/>
    <w:rsid w:val="00CC47E3"/>
    <w:rsid w:val="00CC58E8"/>
    <w:rsid w:val="00CC6E8E"/>
    <w:rsid w:val="00CC7312"/>
    <w:rsid w:val="00CC7B45"/>
    <w:rsid w:val="00CC7B5C"/>
    <w:rsid w:val="00CD0458"/>
    <w:rsid w:val="00CD087C"/>
    <w:rsid w:val="00CD0FCB"/>
    <w:rsid w:val="00CD1188"/>
    <w:rsid w:val="00CD1DC6"/>
    <w:rsid w:val="00CD1EAE"/>
    <w:rsid w:val="00CD2ED1"/>
    <w:rsid w:val="00CD3127"/>
    <w:rsid w:val="00CD337B"/>
    <w:rsid w:val="00CD358C"/>
    <w:rsid w:val="00CD53BD"/>
    <w:rsid w:val="00CD5F0B"/>
    <w:rsid w:val="00CD6B1B"/>
    <w:rsid w:val="00CD7AFA"/>
    <w:rsid w:val="00CE01FC"/>
    <w:rsid w:val="00CE0232"/>
    <w:rsid w:val="00CE0293"/>
    <w:rsid w:val="00CE0424"/>
    <w:rsid w:val="00CE0761"/>
    <w:rsid w:val="00CE09DF"/>
    <w:rsid w:val="00CE0A4F"/>
    <w:rsid w:val="00CE0A55"/>
    <w:rsid w:val="00CE0ADF"/>
    <w:rsid w:val="00CE1154"/>
    <w:rsid w:val="00CE1418"/>
    <w:rsid w:val="00CE1598"/>
    <w:rsid w:val="00CE2480"/>
    <w:rsid w:val="00CE2C92"/>
    <w:rsid w:val="00CE2D86"/>
    <w:rsid w:val="00CE39B2"/>
    <w:rsid w:val="00CE3A31"/>
    <w:rsid w:val="00CE3A34"/>
    <w:rsid w:val="00CE44A0"/>
    <w:rsid w:val="00CE4BE4"/>
    <w:rsid w:val="00CE4DAD"/>
    <w:rsid w:val="00CE68CB"/>
    <w:rsid w:val="00CE6B68"/>
    <w:rsid w:val="00CE6BA1"/>
    <w:rsid w:val="00CE727B"/>
    <w:rsid w:val="00CE72A7"/>
    <w:rsid w:val="00CE7561"/>
    <w:rsid w:val="00CE7871"/>
    <w:rsid w:val="00CE79E5"/>
    <w:rsid w:val="00CE7E28"/>
    <w:rsid w:val="00CF05DA"/>
    <w:rsid w:val="00CF1354"/>
    <w:rsid w:val="00CF1953"/>
    <w:rsid w:val="00CF19E4"/>
    <w:rsid w:val="00CF1C14"/>
    <w:rsid w:val="00CF272D"/>
    <w:rsid w:val="00CF3B1F"/>
    <w:rsid w:val="00CF3BF6"/>
    <w:rsid w:val="00CF4469"/>
    <w:rsid w:val="00CF58A5"/>
    <w:rsid w:val="00CF5D7B"/>
    <w:rsid w:val="00CF625B"/>
    <w:rsid w:val="00CF687E"/>
    <w:rsid w:val="00CF6B57"/>
    <w:rsid w:val="00CF6CA4"/>
    <w:rsid w:val="00CF6F20"/>
    <w:rsid w:val="00CF72AA"/>
    <w:rsid w:val="00CF74F8"/>
    <w:rsid w:val="00CF7580"/>
    <w:rsid w:val="00CF7D0E"/>
    <w:rsid w:val="00CF7D7B"/>
    <w:rsid w:val="00D00296"/>
    <w:rsid w:val="00D004E5"/>
    <w:rsid w:val="00D00527"/>
    <w:rsid w:val="00D00C6A"/>
    <w:rsid w:val="00D00D98"/>
    <w:rsid w:val="00D012F7"/>
    <w:rsid w:val="00D01AA0"/>
    <w:rsid w:val="00D020FB"/>
    <w:rsid w:val="00D0234B"/>
    <w:rsid w:val="00D02540"/>
    <w:rsid w:val="00D02683"/>
    <w:rsid w:val="00D0269F"/>
    <w:rsid w:val="00D026A9"/>
    <w:rsid w:val="00D030B1"/>
    <w:rsid w:val="00D0349B"/>
    <w:rsid w:val="00D03C5E"/>
    <w:rsid w:val="00D03EE4"/>
    <w:rsid w:val="00D04925"/>
    <w:rsid w:val="00D05745"/>
    <w:rsid w:val="00D057D9"/>
    <w:rsid w:val="00D05DD7"/>
    <w:rsid w:val="00D0636A"/>
    <w:rsid w:val="00D063C8"/>
    <w:rsid w:val="00D06E7D"/>
    <w:rsid w:val="00D10249"/>
    <w:rsid w:val="00D108D2"/>
    <w:rsid w:val="00D10A48"/>
    <w:rsid w:val="00D10BC8"/>
    <w:rsid w:val="00D10D6A"/>
    <w:rsid w:val="00D115C3"/>
    <w:rsid w:val="00D11897"/>
    <w:rsid w:val="00D11ACE"/>
    <w:rsid w:val="00D120A7"/>
    <w:rsid w:val="00D1234B"/>
    <w:rsid w:val="00D13135"/>
    <w:rsid w:val="00D132D8"/>
    <w:rsid w:val="00D13C55"/>
    <w:rsid w:val="00D13E4E"/>
    <w:rsid w:val="00D13F36"/>
    <w:rsid w:val="00D14CEF"/>
    <w:rsid w:val="00D15200"/>
    <w:rsid w:val="00D15F46"/>
    <w:rsid w:val="00D161C0"/>
    <w:rsid w:val="00D164E9"/>
    <w:rsid w:val="00D176B5"/>
    <w:rsid w:val="00D20FB6"/>
    <w:rsid w:val="00D211C1"/>
    <w:rsid w:val="00D219C2"/>
    <w:rsid w:val="00D22021"/>
    <w:rsid w:val="00D225F1"/>
    <w:rsid w:val="00D22B66"/>
    <w:rsid w:val="00D2387D"/>
    <w:rsid w:val="00D238EA"/>
    <w:rsid w:val="00D239A7"/>
    <w:rsid w:val="00D23D84"/>
    <w:rsid w:val="00D23F47"/>
    <w:rsid w:val="00D245B6"/>
    <w:rsid w:val="00D258FD"/>
    <w:rsid w:val="00D2616A"/>
    <w:rsid w:val="00D273BD"/>
    <w:rsid w:val="00D274D2"/>
    <w:rsid w:val="00D27563"/>
    <w:rsid w:val="00D27AEE"/>
    <w:rsid w:val="00D27BEF"/>
    <w:rsid w:val="00D310EA"/>
    <w:rsid w:val="00D312C9"/>
    <w:rsid w:val="00D315BD"/>
    <w:rsid w:val="00D32FD6"/>
    <w:rsid w:val="00D33F8F"/>
    <w:rsid w:val="00D340D9"/>
    <w:rsid w:val="00D351DC"/>
    <w:rsid w:val="00D35C47"/>
    <w:rsid w:val="00D35F4B"/>
    <w:rsid w:val="00D366D2"/>
    <w:rsid w:val="00D36A15"/>
    <w:rsid w:val="00D36D92"/>
    <w:rsid w:val="00D36E71"/>
    <w:rsid w:val="00D375A2"/>
    <w:rsid w:val="00D3798A"/>
    <w:rsid w:val="00D37D87"/>
    <w:rsid w:val="00D408E7"/>
    <w:rsid w:val="00D40B33"/>
    <w:rsid w:val="00D424FC"/>
    <w:rsid w:val="00D4318F"/>
    <w:rsid w:val="00D438BF"/>
    <w:rsid w:val="00D43C6F"/>
    <w:rsid w:val="00D440F8"/>
    <w:rsid w:val="00D45F74"/>
    <w:rsid w:val="00D464EA"/>
    <w:rsid w:val="00D5222A"/>
    <w:rsid w:val="00D529D3"/>
    <w:rsid w:val="00D53BD3"/>
    <w:rsid w:val="00D53D06"/>
    <w:rsid w:val="00D54225"/>
    <w:rsid w:val="00D54665"/>
    <w:rsid w:val="00D546FF"/>
    <w:rsid w:val="00D5530B"/>
    <w:rsid w:val="00D55AD5"/>
    <w:rsid w:val="00D5642E"/>
    <w:rsid w:val="00D567F0"/>
    <w:rsid w:val="00D5730E"/>
    <w:rsid w:val="00D576CA"/>
    <w:rsid w:val="00D5787D"/>
    <w:rsid w:val="00D57FD7"/>
    <w:rsid w:val="00D60C94"/>
    <w:rsid w:val="00D61018"/>
    <w:rsid w:val="00D614CC"/>
    <w:rsid w:val="00D61AF5"/>
    <w:rsid w:val="00D62199"/>
    <w:rsid w:val="00D62552"/>
    <w:rsid w:val="00D62AD4"/>
    <w:rsid w:val="00D6317D"/>
    <w:rsid w:val="00D63CF1"/>
    <w:rsid w:val="00D652B5"/>
    <w:rsid w:val="00D65873"/>
    <w:rsid w:val="00D66155"/>
    <w:rsid w:val="00D66545"/>
    <w:rsid w:val="00D66B63"/>
    <w:rsid w:val="00D6702E"/>
    <w:rsid w:val="00D6714A"/>
    <w:rsid w:val="00D67412"/>
    <w:rsid w:val="00D708B0"/>
    <w:rsid w:val="00D7185F"/>
    <w:rsid w:val="00D718C3"/>
    <w:rsid w:val="00D71A07"/>
    <w:rsid w:val="00D71CBB"/>
    <w:rsid w:val="00D71CD8"/>
    <w:rsid w:val="00D71CDF"/>
    <w:rsid w:val="00D72661"/>
    <w:rsid w:val="00D727D0"/>
    <w:rsid w:val="00D74682"/>
    <w:rsid w:val="00D749D4"/>
    <w:rsid w:val="00D771CE"/>
    <w:rsid w:val="00D77450"/>
    <w:rsid w:val="00D77B1D"/>
    <w:rsid w:val="00D77FE3"/>
    <w:rsid w:val="00D80121"/>
    <w:rsid w:val="00D8021F"/>
    <w:rsid w:val="00D80383"/>
    <w:rsid w:val="00D8050E"/>
    <w:rsid w:val="00D80680"/>
    <w:rsid w:val="00D810E1"/>
    <w:rsid w:val="00D819C7"/>
    <w:rsid w:val="00D81A9D"/>
    <w:rsid w:val="00D81B1F"/>
    <w:rsid w:val="00D82305"/>
    <w:rsid w:val="00D823C6"/>
    <w:rsid w:val="00D82D46"/>
    <w:rsid w:val="00D8327F"/>
    <w:rsid w:val="00D835B5"/>
    <w:rsid w:val="00D83734"/>
    <w:rsid w:val="00D84E36"/>
    <w:rsid w:val="00D84EE4"/>
    <w:rsid w:val="00D85275"/>
    <w:rsid w:val="00D855B2"/>
    <w:rsid w:val="00D862AB"/>
    <w:rsid w:val="00D8692A"/>
    <w:rsid w:val="00D869C7"/>
    <w:rsid w:val="00D86C16"/>
    <w:rsid w:val="00D86CA3"/>
    <w:rsid w:val="00D86FB0"/>
    <w:rsid w:val="00D871CE"/>
    <w:rsid w:val="00D87620"/>
    <w:rsid w:val="00D8799C"/>
    <w:rsid w:val="00D87EDF"/>
    <w:rsid w:val="00D908EC"/>
    <w:rsid w:val="00D9196D"/>
    <w:rsid w:val="00D92602"/>
    <w:rsid w:val="00D92982"/>
    <w:rsid w:val="00D929D2"/>
    <w:rsid w:val="00D92C71"/>
    <w:rsid w:val="00D93F66"/>
    <w:rsid w:val="00D9425A"/>
    <w:rsid w:val="00D9460C"/>
    <w:rsid w:val="00D94C45"/>
    <w:rsid w:val="00D9647B"/>
    <w:rsid w:val="00D964C2"/>
    <w:rsid w:val="00D964FF"/>
    <w:rsid w:val="00D96C3A"/>
    <w:rsid w:val="00D96D88"/>
    <w:rsid w:val="00D97491"/>
    <w:rsid w:val="00D97C30"/>
    <w:rsid w:val="00DA144C"/>
    <w:rsid w:val="00DA1611"/>
    <w:rsid w:val="00DA28C5"/>
    <w:rsid w:val="00DA2B5E"/>
    <w:rsid w:val="00DA2B8F"/>
    <w:rsid w:val="00DA2BC8"/>
    <w:rsid w:val="00DA2FE8"/>
    <w:rsid w:val="00DA305E"/>
    <w:rsid w:val="00DA31D5"/>
    <w:rsid w:val="00DA3AC7"/>
    <w:rsid w:val="00DA412D"/>
    <w:rsid w:val="00DA4C79"/>
    <w:rsid w:val="00DA5142"/>
    <w:rsid w:val="00DA522E"/>
    <w:rsid w:val="00DA5417"/>
    <w:rsid w:val="00DA5668"/>
    <w:rsid w:val="00DA56E8"/>
    <w:rsid w:val="00DA583E"/>
    <w:rsid w:val="00DA60FA"/>
    <w:rsid w:val="00DA6111"/>
    <w:rsid w:val="00DA668B"/>
    <w:rsid w:val="00DA6B4F"/>
    <w:rsid w:val="00DA7065"/>
    <w:rsid w:val="00DA7336"/>
    <w:rsid w:val="00DB00DD"/>
    <w:rsid w:val="00DB01DF"/>
    <w:rsid w:val="00DB0223"/>
    <w:rsid w:val="00DB0A9F"/>
    <w:rsid w:val="00DB12C5"/>
    <w:rsid w:val="00DB143B"/>
    <w:rsid w:val="00DB17E7"/>
    <w:rsid w:val="00DB1F01"/>
    <w:rsid w:val="00DB377D"/>
    <w:rsid w:val="00DB3D81"/>
    <w:rsid w:val="00DB40BB"/>
    <w:rsid w:val="00DB43DF"/>
    <w:rsid w:val="00DB5D86"/>
    <w:rsid w:val="00DB637E"/>
    <w:rsid w:val="00DB66D0"/>
    <w:rsid w:val="00DB6762"/>
    <w:rsid w:val="00DB6A1A"/>
    <w:rsid w:val="00DB6E5A"/>
    <w:rsid w:val="00DB772F"/>
    <w:rsid w:val="00DB79CE"/>
    <w:rsid w:val="00DC061B"/>
    <w:rsid w:val="00DC10FF"/>
    <w:rsid w:val="00DC142A"/>
    <w:rsid w:val="00DC147C"/>
    <w:rsid w:val="00DC15D6"/>
    <w:rsid w:val="00DC15F4"/>
    <w:rsid w:val="00DC171E"/>
    <w:rsid w:val="00DC1B0B"/>
    <w:rsid w:val="00DC20E6"/>
    <w:rsid w:val="00DC2493"/>
    <w:rsid w:val="00DC29AE"/>
    <w:rsid w:val="00DC2A8E"/>
    <w:rsid w:val="00DC2CDF"/>
    <w:rsid w:val="00DC2D36"/>
    <w:rsid w:val="00DC2E33"/>
    <w:rsid w:val="00DC3375"/>
    <w:rsid w:val="00DC35AB"/>
    <w:rsid w:val="00DC3CF2"/>
    <w:rsid w:val="00DC53EF"/>
    <w:rsid w:val="00DC53F6"/>
    <w:rsid w:val="00DC5646"/>
    <w:rsid w:val="00DC5D14"/>
    <w:rsid w:val="00DC6BBD"/>
    <w:rsid w:val="00DC7023"/>
    <w:rsid w:val="00DC72E3"/>
    <w:rsid w:val="00DC7572"/>
    <w:rsid w:val="00DC75CF"/>
    <w:rsid w:val="00DC7F15"/>
    <w:rsid w:val="00DD019C"/>
    <w:rsid w:val="00DD1431"/>
    <w:rsid w:val="00DD3B4A"/>
    <w:rsid w:val="00DD3BFC"/>
    <w:rsid w:val="00DD43B9"/>
    <w:rsid w:val="00DD471F"/>
    <w:rsid w:val="00DD520B"/>
    <w:rsid w:val="00DD5FB0"/>
    <w:rsid w:val="00DD615B"/>
    <w:rsid w:val="00DD6B48"/>
    <w:rsid w:val="00DD708A"/>
    <w:rsid w:val="00DD7192"/>
    <w:rsid w:val="00DD72D2"/>
    <w:rsid w:val="00DD77C9"/>
    <w:rsid w:val="00DE00FF"/>
    <w:rsid w:val="00DE0286"/>
    <w:rsid w:val="00DE14DF"/>
    <w:rsid w:val="00DE19F1"/>
    <w:rsid w:val="00DE2B00"/>
    <w:rsid w:val="00DE2B26"/>
    <w:rsid w:val="00DE2CC4"/>
    <w:rsid w:val="00DE3EB7"/>
    <w:rsid w:val="00DE4B78"/>
    <w:rsid w:val="00DE5608"/>
    <w:rsid w:val="00DE58D0"/>
    <w:rsid w:val="00DE5969"/>
    <w:rsid w:val="00DE5EE5"/>
    <w:rsid w:val="00DE601D"/>
    <w:rsid w:val="00DE654F"/>
    <w:rsid w:val="00DE7225"/>
    <w:rsid w:val="00DE75D6"/>
    <w:rsid w:val="00DE7EBE"/>
    <w:rsid w:val="00DF0B6E"/>
    <w:rsid w:val="00DF0D12"/>
    <w:rsid w:val="00DF11A0"/>
    <w:rsid w:val="00DF15E0"/>
    <w:rsid w:val="00DF1630"/>
    <w:rsid w:val="00DF173E"/>
    <w:rsid w:val="00DF1E8B"/>
    <w:rsid w:val="00DF1F93"/>
    <w:rsid w:val="00DF20AA"/>
    <w:rsid w:val="00DF2DB7"/>
    <w:rsid w:val="00DF37A0"/>
    <w:rsid w:val="00DF3902"/>
    <w:rsid w:val="00DF3F67"/>
    <w:rsid w:val="00DF472A"/>
    <w:rsid w:val="00DF4A8D"/>
    <w:rsid w:val="00DF56D1"/>
    <w:rsid w:val="00DF60B6"/>
    <w:rsid w:val="00DF6622"/>
    <w:rsid w:val="00DF670C"/>
    <w:rsid w:val="00DF6906"/>
    <w:rsid w:val="00DF7559"/>
    <w:rsid w:val="00DF7704"/>
    <w:rsid w:val="00E00585"/>
    <w:rsid w:val="00E00D18"/>
    <w:rsid w:val="00E02936"/>
    <w:rsid w:val="00E02A30"/>
    <w:rsid w:val="00E02EA1"/>
    <w:rsid w:val="00E03115"/>
    <w:rsid w:val="00E0327E"/>
    <w:rsid w:val="00E035CC"/>
    <w:rsid w:val="00E039FD"/>
    <w:rsid w:val="00E040B6"/>
    <w:rsid w:val="00E05BF4"/>
    <w:rsid w:val="00E05C0F"/>
    <w:rsid w:val="00E05F2A"/>
    <w:rsid w:val="00E0632B"/>
    <w:rsid w:val="00E065A6"/>
    <w:rsid w:val="00E06676"/>
    <w:rsid w:val="00E0691F"/>
    <w:rsid w:val="00E06BC8"/>
    <w:rsid w:val="00E07489"/>
    <w:rsid w:val="00E07A45"/>
    <w:rsid w:val="00E07D37"/>
    <w:rsid w:val="00E10CD5"/>
    <w:rsid w:val="00E110E7"/>
    <w:rsid w:val="00E116E0"/>
    <w:rsid w:val="00E11B20"/>
    <w:rsid w:val="00E11DB9"/>
    <w:rsid w:val="00E12925"/>
    <w:rsid w:val="00E1471E"/>
    <w:rsid w:val="00E14B92"/>
    <w:rsid w:val="00E16B2F"/>
    <w:rsid w:val="00E1755A"/>
    <w:rsid w:val="00E17973"/>
    <w:rsid w:val="00E179E7"/>
    <w:rsid w:val="00E17FA2"/>
    <w:rsid w:val="00E201E6"/>
    <w:rsid w:val="00E20C3E"/>
    <w:rsid w:val="00E20DD7"/>
    <w:rsid w:val="00E20DD9"/>
    <w:rsid w:val="00E20F09"/>
    <w:rsid w:val="00E21147"/>
    <w:rsid w:val="00E21211"/>
    <w:rsid w:val="00E2139E"/>
    <w:rsid w:val="00E2188C"/>
    <w:rsid w:val="00E22330"/>
    <w:rsid w:val="00E22914"/>
    <w:rsid w:val="00E2318D"/>
    <w:rsid w:val="00E23FD6"/>
    <w:rsid w:val="00E23FF1"/>
    <w:rsid w:val="00E24155"/>
    <w:rsid w:val="00E2429C"/>
    <w:rsid w:val="00E247BD"/>
    <w:rsid w:val="00E24C11"/>
    <w:rsid w:val="00E24DBF"/>
    <w:rsid w:val="00E2549A"/>
    <w:rsid w:val="00E26F38"/>
    <w:rsid w:val="00E27A1D"/>
    <w:rsid w:val="00E27A9E"/>
    <w:rsid w:val="00E27B55"/>
    <w:rsid w:val="00E30B2B"/>
    <w:rsid w:val="00E30B5A"/>
    <w:rsid w:val="00E3123D"/>
    <w:rsid w:val="00E31461"/>
    <w:rsid w:val="00E318A8"/>
    <w:rsid w:val="00E31D43"/>
    <w:rsid w:val="00E322FE"/>
    <w:rsid w:val="00E32608"/>
    <w:rsid w:val="00E330D0"/>
    <w:rsid w:val="00E335CD"/>
    <w:rsid w:val="00E33AE4"/>
    <w:rsid w:val="00E33B9B"/>
    <w:rsid w:val="00E34188"/>
    <w:rsid w:val="00E34B6E"/>
    <w:rsid w:val="00E35264"/>
    <w:rsid w:val="00E35559"/>
    <w:rsid w:val="00E3572E"/>
    <w:rsid w:val="00E35B02"/>
    <w:rsid w:val="00E3619F"/>
    <w:rsid w:val="00E366CB"/>
    <w:rsid w:val="00E3723A"/>
    <w:rsid w:val="00E372C6"/>
    <w:rsid w:val="00E3743D"/>
    <w:rsid w:val="00E374CE"/>
    <w:rsid w:val="00E37860"/>
    <w:rsid w:val="00E402AE"/>
    <w:rsid w:val="00E410A6"/>
    <w:rsid w:val="00E41412"/>
    <w:rsid w:val="00E418CE"/>
    <w:rsid w:val="00E42B45"/>
    <w:rsid w:val="00E42CD6"/>
    <w:rsid w:val="00E42CE0"/>
    <w:rsid w:val="00E43376"/>
    <w:rsid w:val="00E446F1"/>
    <w:rsid w:val="00E44D98"/>
    <w:rsid w:val="00E45D0E"/>
    <w:rsid w:val="00E460E5"/>
    <w:rsid w:val="00E46329"/>
    <w:rsid w:val="00E46886"/>
    <w:rsid w:val="00E46C7C"/>
    <w:rsid w:val="00E47A43"/>
    <w:rsid w:val="00E47AEF"/>
    <w:rsid w:val="00E51899"/>
    <w:rsid w:val="00E51AD1"/>
    <w:rsid w:val="00E51FB2"/>
    <w:rsid w:val="00E524CD"/>
    <w:rsid w:val="00E528A9"/>
    <w:rsid w:val="00E536AB"/>
    <w:rsid w:val="00E53B75"/>
    <w:rsid w:val="00E54124"/>
    <w:rsid w:val="00E54187"/>
    <w:rsid w:val="00E547C0"/>
    <w:rsid w:val="00E54AC4"/>
    <w:rsid w:val="00E54C69"/>
    <w:rsid w:val="00E54E3B"/>
    <w:rsid w:val="00E55936"/>
    <w:rsid w:val="00E56453"/>
    <w:rsid w:val="00E56FB1"/>
    <w:rsid w:val="00E57399"/>
    <w:rsid w:val="00E57565"/>
    <w:rsid w:val="00E57647"/>
    <w:rsid w:val="00E576EF"/>
    <w:rsid w:val="00E60124"/>
    <w:rsid w:val="00E601F6"/>
    <w:rsid w:val="00E61808"/>
    <w:rsid w:val="00E628E9"/>
    <w:rsid w:val="00E62AFA"/>
    <w:rsid w:val="00E62FDA"/>
    <w:rsid w:val="00E632CB"/>
    <w:rsid w:val="00E637A2"/>
    <w:rsid w:val="00E63838"/>
    <w:rsid w:val="00E64434"/>
    <w:rsid w:val="00E64583"/>
    <w:rsid w:val="00E64BDB"/>
    <w:rsid w:val="00E64CC3"/>
    <w:rsid w:val="00E65BC3"/>
    <w:rsid w:val="00E65EB4"/>
    <w:rsid w:val="00E66373"/>
    <w:rsid w:val="00E663A0"/>
    <w:rsid w:val="00E66999"/>
    <w:rsid w:val="00E673AD"/>
    <w:rsid w:val="00E679B3"/>
    <w:rsid w:val="00E679CA"/>
    <w:rsid w:val="00E67C51"/>
    <w:rsid w:val="00E70719"/>
    <w:rsid w:val="00E70AD6"/>
    <w:rsid w:val="00E711A3"/>
    <w:rsid w:val="00E719CE"/>
    <w:rsid w:val="00E71A0D"/>
    <w:rsid w:val="00E72465"/>
    <w:rsid w:val="00E72654"/>
    <w:rsid w:val="00E72BFE"/>
    <w:rsid w:val="00E72EFC"/>
    <w:rsid w:val="00E73253"/>
    <w:rsid w:val="00E735C4"/>
    <w:rsid w:val="00E73801"/>
    <w:rsid w:val="00E7401E"/>
    <w:rsid w:val="00E74150"/>
    <w:rsid w:val="00E74A2B"/>
    <w:rsid w:val="00E75402"/>
    <w:rsid w:val="00E7566F"/>
    <w:rsid w:val="00E758EC"/>
    <w:rsid w:val="00E75F8D"/>
    <w:rsid w:val="00E762B9"/>
    <w:rsid w:val="00E76B43"/>
    <w:rsid w:val="00E76E56"/>
    <w:rsid w:val="00E775C1"/>
    <w:rsid w:val="00E77ECE"/>
    <w:rsid w:val="00E80718"/>
    <w:rsid w:val="00E80CED"/>
    <w:rsid w:val="00E80F49"/>
    <w:rsid w:val="00E81CA7"/>
    <w:rsid w:val="00E82009"/>
    <w:rsid w:val="00E82315"/>
    <w:rsid w:val="00E8234C"/>
    <w:rsid w:val="00E82A89"/>
    <w:rsid w:val="00E83AA9"/>
    <w:rsid w:val="00E83D08"/>
    <w:rsid w:val="00E84EE9"/>
    <w:rsid w:val="00E85928"/>
    <w:rsid w:val="00E85BEE"/>
    <w:rsid w:val="00E8719D"/>
    <w:rsid w:val="00E8748F"/>
    <w:rsid w:val="00E8762B"/>
    <w:rsid w:val="00E87784"/>
    <w:rsid w:val="00E87822"/>
    <w:rsid w:val="00E87A9E"/>
    <w:rsid w:val="00E87DC5"/>
    <w:rsid w:val="00E90395"/>
    <w:rsid w:val="00E90E49"/>
    <w:rsid w:val="00E9135B"/>
    <w:rsid w:val="00E917F9"/>
    <w:rsid w:val="00E922D0"/>
    <w:rsid w:val="00E9291C"/>
    <w:rsid w:val="00E92DA6"/>
    <w:rsid w:val="00E92F0B"/>
    <w:rsid w:val="00E93371"/>
    <w:rsid w:val="00E93A0D"/>
    <w:rsid w:val="00E93FFE"/>
    <w:rsid w:val="00E94F8A"/>
    <w:rsid w:val="00E9504F"/>
    <w:rsid w:val="00E95122"/>
    <w:rsid w:val="00E957EE"/>
    <w:rsid w:val="00E95870"/>
    <w:rsid w:val="00E95998"/>
    <w:rsid w:val="00E9606F"/>
    <w:rsid w:val="00E9645D"/>
    <w:rsid w:val="00E9756A"/>
    <w:rsid w:val="00E97DB9"/>
    <w:rsid w:val="00E97E01"/>
    <w:rsid w:val="00EA1059"/>
    <w:rsid w:val="00EA14B2"/>
    <w:rsid w:val="00EA1FD0"/>
    <w:rsid w:val="00EA2EC5"/>
    <w:rsid w:val="00EA38C9"/>
    <w:rsid w:val="00EA4982"/>
    <w:rsid w:val="00EA53CA"/>
    <w:rsid w:val="00EA5EF0"/>
    <w:rsid w:val="00EA606A"/>
    <w:rsid w:val="00EA6A82"/>
    <w:rsid w:val="00EA6CC9"/>
    <w:rsid w:val="00EA7107"/>
    <w:rsid w:val="00EA7A41"/>
    <w:rsid w:val="00EA7FDF"/>
    <w:rsid w:val="00EB00D9"/>
    <w:rsid w:val="00EB077B"/>
    <w:rsid w:val="00EB0DBD"/>
    <w:rsid w:val="00EB126A"/>
    <w:rsid w:val="00EB136B"/>
    <w:rsid w:val="00EB1722"/>
    <w:rsid w:val="00EB242E"/>
    <w:rsid w:val="00EB255B"/>
    <w:rsid w:val="00EB2EB1"/>
    <w:rsid w:val="00EB2EB2"/>
    <w:rsid w:val="00EB3450"/>
    <w:rsid w:val="00EB3BD9"/>
    <w:rsid w:val="00EB468A"/>
    <w:rsid w:val="00EB4EA2"/>
    <w:rsid w:val="00EB5705"/>
    <w:rsid w:val="00EB59E0"/>
    <w:rsid w:val="00EB5A24"/>
    <w:rsid w:val="00EB69D5"/>
    <w:rsid w:val="00EB6D92"/>
    <w:rsid w:val="00EB73B2"/>
    <w:rsid w:val="00EB7938"/>
    <w:rsid w:val="00EB7E55"/>
    <w:rsid w:val="00EC08DA"/>
    <w:rsid w:val="00EC0D10"/>
    <w:rsid w:val="00EC1349"/>
    <w:rsid w:val="00EC1D62"/>
    <w:rsid w:val="00EC2358"/>
    <w:rsid w:val="00EC24D5"/>
    <w:rsid w:val="00EC27C6"/>
    <w:rsid w:val="00EC27EE"/>
    <w:rsid w:val="00EC29DB"/>
    <w:rsid w:val="00EC3BAD"/>
    <w:rsid w:val="00EC4207"/>
    <w:rsid w:val="00EC469E"/>
    <w:rsid w:val="00EC484E"/>
    <w:rsid w:val="00EC4FA3"/>
    <w:rsid w:val="00EC5653"/>
    <w:rsid w:val="00EC6D1D"/>
    <w:rsid w:val="00EC71CE"/>
    <w:rsid w:val="00EC7494"/>
    <w:rsid w:val="00ED08F8"/>
    <w:rsid w:val="00ED1006"/>
    <w:rsid w:val="00ED14DC"/>
    <w:rsid w:val="00ED19F6"/>
    <w:rsid w:val="00ED1FB0"/>
    <w:rsid w:val="00ED20EF"/>
    <w:rsid w:val="00ED385B"/>
    <w:rsid w:val="00ED4B9F"/>
    <w:rsid w:val="00ED4CD5"/>
    <w:rsid w:val="00ED4EFD"/>
    <w:rsid w:val="00ED75FC"/>
    <w:rsid w:val="00EE0001"/>
    <w:rsid w:val="00EE1B8E"/>
    <w:rsid w:val="00EE1BD3"/>
    <w:rsid w:val="00EE2275"/>
    <w:rsid w:val="00EE2916"/>
    <w:rsid w:val="00EE2C34"/>
    <w:rsid w:val="00EE2E35"/>
    <w:rsid w:val="00EE307B"/>
    <w:rsid w:val="00EE30AD"/>
    <w:rsid w:val="00EE36CC"/>
    <w:rsid w:val="00EE489F"/>
    <w:rsid w:val="00EE5752"/>
    <w:rsid w:val="00EE5A31"/>
    <w:rsid w:val="00EE747A"/>
    <w:rsid w:val="00EE78BB"/>
    <w:rsid w:val="00EE7F03"/>
    <w:rsid w:val="00EF0038"/>
    <w:rsid w:val="00EF0B45"/>
    <w:rsid w:val="00EF18FE"/>
    <w:rsid w:val="00EF199D"/>
    <w:rsid w:val="00EF1F6F"/>
    <w:rsid w:val="00EF2830"/>
    <w:rsid w:val="00EF2A8A"/>
    <w:rsid w:val="00EF2D41"/>
    <w:rsid w:val="00EF3F8E"/>
    <w:rsid w:val="00EF5787"/>
    <w:rsid w:val="00EF5B6E"/>
    <w:rsid w:val="00EF60D0"/>
    <w:rsid w:val="00EF6419"/>
    <w:rsid w:val="00EF7637"/>
    <w:rsid w:val="00EF7763"/>
    <w:rsid w:val="00F0130F"/>
    <w:rsid w:val="00F017CA"/>
    <w:rsid w:val="00F020A7"/>
    <w:rsid w:val="00F02336"/>
    <w:rsid w:val="00F0266F"/>
    <w:rsid w:val="00F02F4D"/>
    <w:rsid w:val="00F03895"/>
    <w:rsid w:val="00F045BF"/>
    <w:rsid w:val="00F04FA9"/>
    <w:rsid w:val="00F0528D"/>
    <w:rsid w:val="00F053EB"/>
    <w:rsid w:val="00F0564A"/>
    <w:rsid w:val="00F06118"/>
    <w:rsid w:val="00F0635B"/>
    <w:rsid w:val="00F06686"/>
    <w:rsid w:val="00F06821"/>
    <w:rsid w:val="00F06C67"/>
    <w:rsid w:val="00F06DFD"/>
    <w:rsid w:val="00F071D1"/>
    <w:rsid w:val="00F07533"/>
    <w:rsid w:val="00F1021E"/>
    <w:rsid w:val="00F105B5"/>
    <w:rsid w:val="00F10629"/>
    <w:rsid w:val="00F10A13"/>
    <w:rsid w:val="00F10EE3"/>
    <w:rsid w:val="00F113DD"/>
    <w:rsid w:val="00F11B18"/>
    <w:rsid w:val="00F11FB0"/>
    <w:rsid w:val="00F120F9"/>
    <w:rsid w:val="00F126E9"/>
    <w:rsid w:val="00F12D73"/>
    <w:rsid w:val="00F131CC"/>
    <w:rsid w:val="00F132F1"/>
    <w:rsid w:val="00F13473"/>
    <w:rsid w:val="00F13BD5"/>
    <w:rsid w:val="00F144A2"/>
    <w:rsid w:val="00F1489F"/>
    <w:rsid w:val="00F14CF3"/>
    <w:rsid w:val="00F1513B"/>
    <w:rsid w:val="00F152AE"/>
    <w:rsid w:val="00F153AF"/>
    <w:rsid w:val="00F1562F"/>
    <w:rsid w:val="00F1590F"/>
    <w:rsid w:val="00F15B10"/>
    <w:rsid w:val="00F15D46"/>
    <w:rsid w:val="00F15FA5"/>
    <w:rsid w:val="00F173A4"/>
    <w:rsid w:val="00F17881"/>
    <w:rsid w:val="00F17D4C"/>
    <w:rsid w:val="00F20186"/>
    <w:rsid w:val="00F202DA"/>
    <w:rsid w:val="00F206E2"/>
    <w:rsid w:val="00F209B7"/>
    <w:rsid w:val="00F22A69"/>
    <w:rsid w:val="00F234A4"/>
    <w:rsid w:val="00F23598"/>
    <w:rsid w:val="00F2376F"/>
    <w:rsid w:val="00F23C03"/>
    <w:rsid w:val="00F241EA"/>
    <w:rsid w:val="00F243D8"/>
    <w:rsid w:val="00F248F2"/>
    <w:rsid w:val="00F24942"/>
    <w:rsid w:val="00F2513C"/>
    <w:rsid w:val="00F2559B"/>
    <w:rsid w:val="00F25621"/>
    <w:rsid w:val="00F2594D"/>
    <w:rsid w:val="00F26004"/>
    <w:rsid w:val="00F2605E"/>
    <w:rsid w:val="00F26451"/>
    <w:rsid w:val="00F26FAE"/>
    <w:rsid w:val="00F30469"/>
    <w:rsid w:val="00F30657"/>
    <w:rsid w:val="00F30828"/>
    <w:rsid w:val="00F308C2"/>
    <w:rsid w:val="00F313D6"/>
    <w:rsid w:val="00F31ABC"/>
    <w:rsid w:val="00F3240E"/>
    <w:rsid w:val="00F3394A"/>
    <w:rsid w:val="00F34069"/>
    <w:rsid w:val="00F34DF8"/>
    <w:rsid w:val="00F350E0"/>
    <w:rsid w:val="00F3579A"/>
    <w:rsid w:val="00F36261"/>
    <w:rsid w:val="00F36391"/>
    <w:rsid w:val="00F37086"/>
    <w:rsid w:val="00F371A4"/>
    <w:rsid w:val="00F3792C"/>
    <w:rsid w:val="00F37949"/>
    <w:rsid w:val="00F37986"/>
    <w:rsid w:val="00F37A8E"/>
    <w:rsid w:val="00F40801"/>
    <w:rsid w:val="00F40931"/>
    <w:rsid w:val="00F40F0C"/>
    <w:rsid w:val="00F4129F"/>
    <w:rsid w:val="00F41612"/>
    <w:rsid w:val="00F41BB0"/>
    <w:rsid w:val="00F41E6C"/>
    <w:rsid w:val="00F42454"/>
    <w:rsid w:val="00F424A8"/>
    <w:rsid w:val="00F442F6"/>
    <w:rsid w:val="00F44FAC"/>
    <w:rsid w:val="00F45C9A"/>
    <w:rsid w:val="00F46700"/>
    <w:rsid w:val="00F468BC"/>
    <w:rsid w:val="00F4766C"/>
    <w:rsid w:val="00F5060E"/>
    <w:rsid w:val="00F5062C"/>
    <w:rsid w:val="00F507D1"/>
    <w:rsid w:val="00F512C1"/>
    <w:rsid w:val="00F513DE"/>
    <w:rsid w:val="00F515EF"/>
    <w:rsid w:val="00F517E4"/>
    <w:rsid w:val="00F519CE"/>
    <w:rsid w:val="00F51AD8"/>
    <w:rsid w:val="00F51ADA"/>
    <w:rsid w:val="00F51F05"/>
    <w:rsid w:val="00F522A7"/>
    <w:rsid w:val="00F525C4"/>
    <w:rsid w:val="00F52681"/>
    <w:rsid w:val="00F54355"/>
    <w:rsid w:val="00F5446D"/>
    <w:rsid w:val="00F546ED"/>
    <w:rsid w:val="00F54F34"/>
    <w:rsid w:val="00F55021"/>
    <w:rsid w:val="00F5505F"/>
    <w:rsid w:val="00F5525D"/>
    <w:rsid w:val="00F5588F"/>
    <w:rsid w:val="00F55C03"/>
    <w:rsid w:val="00F55EAF"/>
    <w:rsid w:val="00F56D62"/>
    <w:rsid w:val="00F575FD"/>
    <w:rsid w:val="00F57704"/>
    <w:rsid w:val="00F57789"/>
    <w:rsid w:val="00F578DD"/>
    <w:rsid w:val="00F6018B"/>
    <w:rsid w:val="00F60203"/>
    <w:rsid w:val="00F60630"/>
    <w:rsid w:val="00F607C5"/>
    <w:rsid w:val="00F60942"/>
    <w:rsid w:val="00F60B99"/>
    <w:rsid w:val="00F60DEA"/>
    <w:rsid w:val="00F60E1B"/>
    <w:rsid w:val="00F622AA"/>
    <w:rsid w:val="00F627BA"/>
    <w:rsid w:val="00F62E4C"/>
    <w:rsid w:val="00F6302A"/>
    <w:rsid w:val="00F630D1"/>
    <w:rsid w:val="00F631D8"/>
    <w:rsid w:val="00F63950"/>
    <w:rsid w:val="00F63A69"/>
    <w:rsid w:val="00F63AB0"/>
    <w:rsid w:val="00F63CB2"/>
    <w:rsid w:val="00F63DB2"/>
    <w:rsid w:val="00F6415B"/>
    <w:rsid w:val="00F642F3"/>
    <w:rsid w:val="00F64BFD"/>
    <w:rsid w:val="00F64C2B"/>
    <w:rsid w:val="00F651BE"/>
    <w:rsid w:val="00F654AA"/>
    <w:rsid w:val="00F654B0"/>
    <w:rsid w:val="00F661A4"/>
    <w:rsid w:val="00F663B3"/>
    <w:rsid w:val="00F66512"/>
    <w:rsid w:val="00F665BB"/>
    <w:rsid w:val="00F669B7"/>
    <w:rsid w:val="00F6743B"/>
    <w:rsid w:val="00F67F53"/>
    <w:rsid w:val="00F703BE"/>
    <w:rsid w:val="00F70E26"/>
    <w:rsid w:val="00F71149"/>
    <w:rsid w:val="00F71553"/>
    <w:rsid w:val="00F71F69"/>
    <w:rsid w:val="00F72483"/>
    <w:rsid w:val="00F72A2E"/>
    <w:rsid w:val="00F72B72"/>
    <w:rsid w:val="00F73076"/>
    <w:rsid w:val="00F7338E"/>
    <w:rsid w:val="00F735D3"/>
    <w:rsid w:val="00F739EB"/>
    <w:rsid w:val="00F73D28"/>
    <w:rsid w:val="00F74BB9"/>
    <w:rsid w:val="00F751F8"/>
    <w:rsid w:val="00F75582"/>
    <w:rsid w:val="00F75A84"/>
    <w:rsid w:val="00F75DAF"/>
    <w:rsid w:val="00F75FAE"/>
    <w:rsid w:val="00F75FCC"/>
    <w:rsid w:val="00F761C3"/>
    <w:rsid w:val="00F76EFA"/>
    <w:rsid w:val="00F7768C"/>
    <w:rsid w:val="00F776DB"/>
    <w:rsid w:val="00F77A05"/>
    <w:rsid w:val="00F77E68"/>
    <w:rsid w:val="00F804BE"/>
    <w:rsid w:val="00F8069E"/>
    <w:rsid w:val="00F80BE4"/>
    <w:rsid w:val="00F817CE"/>
    <w:rsid w:val="00F81856"/>
    <w:rsid w:val="00F81CD3"/>
    <w:rsid w:val="00F82796"/>
    <w:rsid w:val="00F82A6C"/>
    <w:rsid w:val="00F833A6"/>
    <w:rsid w:val="00F83FC1"/>
    <w:rsid w:val="00F8405D"/>
    <w:rsid w:val="00F841F6"/>
    <w:rsid w:val="00F841FC"/>
    <w:rsid w:val="00F8456C"/>
    <w:rsid w:val="00F84CE2"/>
    <w:rsid w:val="00F859D8"/>
    <w:rsid w:val="00F864B5"/>
    <w:rsid w:val="00F86810"/>
    <w:rsid w:val="00F868F5"/>
    <w:rsid w:val="00F86EBD"/>
    <w:rsid w:val="00F87D4D"/>
    <w:rsid w:val="00F9055D"/>
    <w:rsid w:val="00F9056A"/>
    <w:rsid w:val="00F9094F"/>
    <w:rsid w:val="00F90F8D"/>
    <w:rsid w:val="00F911F5"/>
    <w:rsid w:val="00F91A48"/>
    <w:rsid w:val="00F92426"/>
    <w:rsid w:val="00F92782"/>
    <w:rsid w:val="00F93147"/>
    <w:rsid w:val="00F93AA9"/>
    <w:rsid w:val="00F941CB"/>
    <w:rsid w:val="00F94AD7"/>
    <w:rsid w:val="00F94CD4"/>
    <w:rsid w:val="00F955F0"/>
    <w:rsid w:val="00F95B0F"/>
    <w:rsid w:val="00F964A1"/>
    <w:rsid w:val="00F96517"/>
    <w:rsid w:val="00F96985"/>
    <w:rsid w:val="00F9734C"/>
    <w:rsid w:val="00F97838"/>
    <w:rsid w:val="00F97954"/>
    <w:rsid w:val="00F97D71"/>
    <w:rsid w:val="00F97D9E"/>
    <w:rsid w:val="00FA0342"/>
    <w:rsid w:val="00FA2BB3"/>
    <w:rsid w:val="00FA3DA0"/>
    <w:rsid w:val="00FA3E4C"/>
    <w:rsid w:val="00FA3FFF"/>
    <w:rsid w:val="00FA4193"/>
    <w:rsid w:val="00FA47F4"/>
    <w:rsid w:val="00FA50F9"/>
    <w:rsid w:val="00FA5CEF"/>
    <w:rsid w:val="00FA6067"/>
    <w:rsid w:val="00FA615A"/>
    <w:rsid w:val="00FA6382"/>
    <w:rsid w:val="00FA65C8"/>
    <w:rsid w:val="00FA6F12"/>
    <w:rsid w:val="00FA6FB6"/>
    <w:rsid w:val="00FA72C2"/>
    <w:rsid w:val="00FA745C"/>
    <w:rsid w:val="00FA7701"/>
    <w:rsid w:val="00FA7AFE"/>
    <w:rsid w:val="00FB0FB6"/>
    <w:rsid w:val="00FB1BA5"/>
    <w:rsid w:val="00FB1D22"/>
    <w:rsid w:val="00FB21A5"/>
    <w:rsid w:val="00FB24E4"/>
    <w:rsid w:val="00FB2603"/>
    <w:rsid w:val="00FB2672"/>
    <w:rsid w:val="00FB2767"/>
    <w:rsid w:val="00FB3DE4"/>
    <w:rsid w:val="00FB40D6"/>
    <w:rsid w:val="00FB4B5F"/>
    <w:rsid w:val="00FB4C80"/>
    <w:rsid w:val="00FB5C0F"/>
    <w:rsid w:val="00FB67EE"/>
    <w:rsid w:val="00FB6A6A"/>
    <w:rsid w:val="00FB7449"/>
    <w:rsid w:val="00FB7D17"/>
    <w:rsid w:val="00FC0603"/>
    <w:rsid w:val="00FC0FB8"/>
    <w:rsid w:val="00FC1373"/>
    <w:rsid w:val="00FC233D"/>
    <w:rsid w:val="00FC2AE4"/>
    <w:rsid w:val="00FC3B5C"/>
    <w:rsid w:val="00FC494F"/>
    <w:rsid w:val="00FC4D45"/>
    <w:rsid w:val="00FC7429"/>
    <w:rsid w:val="00FC788F"/>
    <w:rsid w:val="00FD02A3"/>
    <w:rsid w:val="00FD07F6"/>
    <w:rsid w:val="00FD08F3"/>
    <w:rsid w:val="00FD156D"/>
    <w:rsid w:val="00FD1E52"/>
    <w:rsid w:val="00FD1EC8"/>
    <w:rsid w:val="00FD1F94"/>
    <w:rsid w:val="00FD22F8"/>
    <w:rsid w:val="00FD29A2"/>
    <w:rsid w:val="00FD4409"/>
    <w:rsid w:val="00FD47ED"/>
    <w:rsid w:val="00FD4B9E"/>
    <w:rsid w:val="00FD4E77"/>
    <w:rsid w:val="00FD512F"/>
    <w:rsid w:val="00FD577E"/>
    <w:rsid w:val="00FD5994"/>
    <w:rsid w:val="00FD630F"/>
    <w:rsid w:val="00FD6538"/>
    <w:rsid w:val="00FD68B7"/>
    <w:rsid w:val="00FD6924"/>
    <w:rsid w:val="00FD721F"/>
    <w:rsid w:val="00FD742A"/>
    <w:rsid w:val="00FD74DB"/>
    <w:rsid w:val="00FD7660"/>
    <w:rsid w:val="00FD7863"/>
    <w:rsid w:val="00FD7D94"/>
    <w:rsid w:val="00FE0056"/>
    <w:rsid w:val="00FE0655"/>
    <w:rsid w:val="00FE0BBD"/>
    <w:rsid w:val="00FE0C54"/>
    <w:rsid w:val="00FE1306"/>
    <w:rsid w:val="00FE1EAA"/>
    <w:rsid w:val="00FE2365"/>
    <w:rsid w:val="00FE2467"/>
    <w:rsid w:val="00FE2A4E"/>
    <w:rsid w:val="00FE37D7"/>
    <w:rsid w:val="00FE3BFE"/>
    <w:rsid w:val="00FE4318"/>
    <w:rsid w:val="00FE43E6"/>
    <w:rsid w:val="00FE472F"/>
    <w:rsid w:val="00FE4C7B"/>
    <w:rsid w:val="00FE4D84"/>
    <w:rsid w:val="00FE4DB5"/>
    <w:rsid w:val="00FE4E0A"/>
    <w:rsid w:val="00FE6068"/>
    <w:rsid w:val="00FE65DC"/>
    <w:rsid w:val="00FE7308"/>
    <w:rsid w:val="00FE7336"/>
    <w:rsid w:val="00FE7471"/>
    <w:rsid w:val="00FE787C"/>
    <w:rsid w:val="00FF08FB"/>
    <w:rsid w:val="00FF0D7B"/>
    <w:rsid w:val="00FF2B24"/>
    <w:rsid w:val="00FF3966"/>
    <w:rsid w:val="00FF3BBD"/>
    <w:rsid w:val="00FF3E1C"/>
    <w:rsid w:val="00FF45A5"/>
    <w:rsid w:val="00FF4BB3"/>
    <w:rsid w:val="00FF4E50"/>
    <w:rsid w:val="00FF54D6"/>
    <w:rsid w:val="00FF554C"/>
    <w:rsid w:val="00FF5C91"/>
    <w:rsid w:val="00FF711A"/>
    <w:rsid w:val="00FF73ED"/>
    <w:rsid w:val="37704898"/>
    <w:rsid w:val="583653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15:docId w15:val="{AC73C6F4-7A55-498A-9733-D2CB13FC8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44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824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44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 ?? Char,????? Char,???? Char,Lista1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2251CB"/>
    <w:rPr>
      <w:rFonts w:asciiTheme="minorHAnsi" w:eastAsiaTheme="minorHAnsi" w:hAnsiTheme="minorHAnsi" w:cstheme="minorBidi"/>
      <w:sz w:val="22"/>
      <w:szCs w:val="22"/>
      <w:lang w:val="sv-SE" w:eastAsia="en-US"/>
    </w:rPr>
  </w:style>
  <w:style w:type="paragraph" w:customStyle="1" w:styleId="Agreement">
    <w:name w:val="Agreement"/>
    <w:basedOn w:val="Normal"/>
    <w:next w:val="Normal"/>
    <w:rsid w:val="00F3579A"/>
    <w:pPr>
      <w:numPr>
        <w:numId w:val="13"/>
      </w:numPr>
      <w:spacing w:before="60" w:line="256" w:lineRule="auto"/>
    </w:pPr>
    <w:rPr>
      <w:rFonts w:ascii="Arial" w:eastAsia="MS Mincho" w:hAnsi="Arial"/>
      <w:b/>
      <w:szCs w:val="24"/>
      <w:lang w:eastAsia="en-GB"/>
    </w:rPr>
  </w:style>
  <w:style w:type="character" w:customStyle="1" w:styleId="ReferenceChar">
    <w:name w:val="Reference Char"/>
    <w:link w:val="Reference"/>
    <w:rsid w:val="002F480C"/>
    <w:rPr>
      <w:rFonts w:ascii="Arial" w:eastAsiaTheme="minorHAnsi" w:hAnsi="Arial" w:cstheme="minorBidi"/>
      <w:sz w:val="22"/>
      <w:szCs w:val="22"/>
      <w:lang w:val="en-US" w:eastAsia="zh-CN"/>
    </w:rPr>
  </w:style>
  <w:style w:type="character" w:customStyle="1" w:styleId="B1Char">
    <w:name w:val="B1 Char"/>
    <w:rsid w:val="0085230B"/>
    <w:rPr>
      <w:lang w:val="en-GB"/>
    </w:rPr>
  </w:style>
  <w:style w:type="paragraph" w:styleId="ListNumber4">
    <w:name w:val="List Number 4"/>
    <w:basedOn w:val="Normal"/>
    <w:rsid w:val="0085230B"/>
    <w:pPr>
      <w:numPr>
        <w:numId w:val="14"/>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IvDbodytextChar">
    <w:name w:val="IvD bodytext Char"/>
    <w:basedOn w:val="BodyTextChar"/>
    <w:link w:val="IvDbodytext"/>
    <w:locked/>
    <w:rsid w:val="00CA73E9"/>
    <w:rPr>
      <w:rFonts w:ascii="Arial" w:hAnsi="Arial" w:cs="Arial"/>
      <w:spacing w:val="2"/>
      <w:lang w:val="en-US" w:eastAsia="zh-CN"/>
    </w:rPr>
  </w:style>
  <w:style w:type="paragraph" w:customStyle="1" w:styleId="IvDbodytext">
    <w:name w:val="IvD bodytext"/>
    <w:basedOn w:val="BodyText"/>
    <w:link w:val="IvDbodytextChar"/>
    <w:qFormat/>
    <w:rsid w:val="00CA73E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rsid w:val="008A7C56"/>
    <w:rPr>
      <w:lang w:eastAsia="en-US"/>
    </w:rPr>
  </w:style>
  <w:style w:type="paragraph" w:customStyle="1" w:styleId="Default">
    <w:name w:val="Default"/>
    <w:rsid w:val="00FA615A"/>
    <w:pPr>
      <w:autoSpaceDE w:val="0"/>
      <w:autoSpaceDN w:val="0"/>
      <w:adjustRightInd w:val="0"/>
    </w:pPr>
    <w:rPr>
      <w:rFonts w:ascii="Times New Roman" w:hAnsi="Times New Roman"/>
      <w:color w:val="000000"/>
      <w:sz w:val="24"/>
      <w:szCs w:val="24"/>
      <w:lang w:val="sv-SE"/>
    </w:rPr>
  </w:style>
  <w:style w:type="character" w:customStyle="1" w:styleId="TACChar">
    <w:name w:val="TAC Char"/>
    <w:link w:val="TAC"/>
    <w:qFormat/>
    <w:locked/>
    <w:rsid w:val="00C3179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5292">
      <w:bodyDiv w:val="1"/>
      <w:marLeft w:val="0"/>
      <w:marRight w:val="0"/>
      <w:marTop w:val="0"/>
      <w:marBottom w:val="0"/>
      <w:divBdr>
        <w:top w:val="none" w:sz="0" w:space="0" w:color="auto"/>
        <w:left w:val="none" w:sz="0" w:space="0" w:color="auto"/>
        <w:bottom w:val="none" w:sz="0" w:space="0" w:color="auto"/>
        <w:right w:val="none" w:sz="0" w:space="0" w:color="auto"/>
      </w:divBdr>
    </w:div>
    <w:div w:id="122235181">
      <w:bodyDiv w:val="1"/>
      <w:marLeft w:val="0"/>
      <w:marRight w:val="0"/>
      <w:marTop w:val="0"/>
      <w:marBottom w:val="0"/>
      <w:divBdr>
        <w:top w:val="none" w:sz="0" w:space="0" w:color="auto"/>
        <w:left w:val="none" w:sz="0" w:space="0" w:color="auto"/>
        <w:bottom w:val="none" w:sz="0" w:space="0" w:color="auto"/>
        <w:right w:val="none" w:sz="0" w:space="0" w:color="auto"/>
      </w:divBdr>
      <w:divsChild>
        <w:div w:id="153420981">
          <w:marLeft w:val="1123"/>
          <w:marRight w:val="0"/>
          <w:marTop w:val="60"/>
          <w:marBottom w:val="0"/>
          <w:divBdr>
            <w:top w:val="none" w:sz="0" w:space="0" w:color="auto"/>
            <w:left w:val="none" w:sz="0" w:space="0" w:color="auto"/>
            <w:bottom w:val="none" w:sz="0" w:space="0" w:color="auto"/>
            <w:right w:val="none" w:sz="0" w:space="0" w:color="auto"/>
          </w:divBdr>
        </w:div>
        <w:div w:id="485360578">
          <w:marLeft w:val="547"/>
          <w:marRight w:val="0"/>
          <w:marTop w:val="60"/>
          <w:marBottom w:val="0"/>
          <w:divBdr>
            <w:top w:val="none" w:sz="0" w:space="0" w:color="auto"/>
            <w:left w:val="none" w:sz="0" w:space="0" w:color="auto"/>
            <w:bottom w:val="none" w:sz="0" w:space="0" w:color="auto"/>
            <w:right w:val="none" w:sz="0" w:space="0" w:color="auto"/>
          </w:divBdr>
        </w:div>
        <w:div w:id="1039746009">
          <w:marLeft w:val="1699"/>
          <w:marRight w:val="0"/>
          <w:marTop w:val="60"/>
          <w:marBottom w:val="0"/>
          <w:divBdr>
            <w:top w:val="none" w:sz="0" w:space="0" w:color="auto"/>
            <w:left w:val="none" w:sz="0" w:space="0" w:color="auto"/>
            <w:bottom w:val="none" w:sz="0" w:space="0" w:color="auto"/>
            <w:right w:val="none" w:sz="0" w:space="0" w:color="auto"/>
          </w:divBdr>
        </w:div>
        <w:div w:id="1512447058">
          <w:marLeft w:val="1699"/>
          <w:marRight w:val="0"/>
          <w:marTop w:val="60"/>
          <w:marBottom w:val="0"/>
          <w:divBdr>
            <w:top w:val="none" w:sz="0" w:space="0" w:color="auto"/>
            <w:left w:val="none" w:sz="0" w:space="0" w:color="auto"/>
            <w:bottom w:val="none" w:sz="0" w:space="0" w:color="auto"/>
            <w:right w:val="none" w:sz="0" w:space="0" w:color="auto"/>
          </w:divBdr>
        </w:div>
        <w:div w:id="1904366840">
          <w:marLeft w:val="1123"/>
          <w:marRight w:val="0"/>
          <w:marTop w:val="60"/>
          <w:marBottom w:val="0"/>
          <w:divBdr>
            <w:top w:val="none" w:sz="0" w:space="0" w:color="auto"/>
            <w:left w:val="none" w:sz="0" w:space="0" w:color="auto"/>
            <w:bottom w:val="none" w:sz="0" w:space="0" w:color="auto"/>
            <w:right w:val="none" w:sz="0" w:space="0" w:color="auto"/>
          </w:divBdr>
        </w:div>
      </w:divsChild>
    </w:div>
    <w:div w:id="161170140">
      <w:bodyDiv w:val="1"/>
      <w:marLeft w:val="0"/>
      <w:marRight w:val="0"/>
      <w:marTop w:val="0"/>
      <w:marBottom w:val="0"/>
      <w:divBdr>
        <w:top w:val="none" w:sz="0" w:space="0" w:color="auto"/>
        <w:left w:val="none" w:sz="0" w:space="0" w:color="auto"/>
        <w:bottom w:val="none" w:sz="0" w:space="0" w:color="auto"/>
        <w:right w:val="none" w:sz="0" w:space="0" w:color="auto"/>
      </w:divBdr>
    </w:div>
    <w:div w:id="173232215">
      <w:bodyDiv w:val="1"/>
      <w:marLeft w:val="0"/>
      <w:marRight w:val="0"/>
      <w:marTop w:val="0"/>
      <w:marBottom w:val="0"/>
      <w:divBdr>
        <w:top w:val="none" w:sz="0" w:space="0" w:color="auto"/>
        <w:left w:val="none" w:sz="0" w:space="0" w:color="auto"/>
        <w:bottom w:val="none" w:sz="0" w:space="0" w:color="auto"/>
        <w:right w:val="none" w:sz="0" w:space="0" w:color="auto"/>
      </w:divBdr>
    </w:div>
    <w:div w:id="205068269">
      <w:bodyDiv w:val="1"/>
      <w:marLeft w:val="0"/>
      <w:marRight w:val="0"/>
      <w:marTop w:val="0"/>
      <w:marBottom w:val="0"/>
      <w:divBdr>
        <w:top w:val="none" w:sz="0" w:space="0" w:color="auto"/>
        <w:left w:val="none" w:sz="0" w:space="0" w:color="auto"/>
        <w:bottom w:val="none" w:sz="0" w:space="0" w:color="auto"/>
        <w:right w:val="none" w:sz="0" w:space="0" w:color="auto"/>
      </w:divBdr>
      <w:divsChild>
        <w:div w:id="187723526">
          <w:marLeft w:val="1123"/>
          <w:marRight w:val="0"/>
          <w:marTop w:val="60"/>
          <w:marBottom w:val="0"/>
          <w:divBdr>
            <w:top w:val="none" w:sz="0" w:space="0" w:color="auto"/>
            <w:left w:val="none" w:sz="0" w:space="0" w:color="auto"/>
            <w:bottom w:val="none" w:sz="0" w:space="0" w:color="auto"/>
            <w:right w:val="none" w:sz="0" w:space="0" w:color="auto"/>
          </w:divBdr>
        </w:div>
        <w:div w:id="211499151">
          <w:marLeft w:val="1699"/>
          <w:marRight w:val="0"/>
          <w:marTop w:val="60"/>
          <w:marBottom w:val="0"/>
          <w:divBdr>
            <w:top w:val="none" w:sz="0" w:space="0" w:color="auto"/>
            <w:left w:val="none" w:sz="0" w:space="0" w:color="auto"/>
            <w:bottom w:val="none" w:sz="0" w:space="0" w:color="auto"/>
            <w:right w:val="none" w:sz="0" w:space="0" w:color="auto"/>
          </w:divBdr>
        </w:div>
        <w:div w:id="372928245">
          <w:marLeft w:val="1123"/>
          <w:marRight w:val="0"/>
          <w:marTop w:val="60"/>
          <w:marBottom w:val="0"/>
          <w:divBdr>
            <w:top w:val="none" w:sz="0" w:space="0" w:color="auto"/>
            <w:left w:val="none" w:sz="0" w:space="0" w:color="auto"/>
            <w:bottom w:val="none" w:sz="0" w:space="0" w:color="auto"/>
            <w:right w:val="none" w:sz="0" w:space="0" w:color="auto"/>
          </w:divBdr>
        </w:div>
        <w:div w:id="410155196">
          <w:marLeft w:val="547"/>
          <w:marRight w:val="0"/>
          <w:marTop w:val="60"/>
          <w:marBottom w:val="0"/>
          <w:divBdr>
            <w:top w:val="none" w:sz="0" w:space="0" w:color="auto"/>
            <w:left w:val="none" w:sz="0" w:space="0" w:color="auto"/>
            <w:bottom w:val="none" w:sz="0" w:space="0" w:color="auto"/>
            <w:right w:val="none" w:sz="0" w:space="0" w:color="auto"/>
          </w:divBdr>
        </w:div>
        <w:div w:id="832644253">
          <w:marLeft w:val="547"/>
          <w:marRight w:val="0"/>
          <w:marTop w:val="60"/>
          <w:marBottom w:val="0"/>
          <w:divBdr>
            <w:top w:val="none" w:sz="0" w:space="0" w:color="auto"/>
            <w:left w:val="none" w:sz="0" w:space="0" w:color="auto"/>
            <w:bottom w:val="none" w:sz="0" w:space="0" w:color="auto"/>
            <w:right w:val="none" w:sz="0" w:space="0" w:color="auto"/>
          </w:divBdr>
        </w:div>
        <w:div w:id="1881018329">
          <w:marLeft w:val="1123"/>
          <w:marRight w:val="0"/>
          <w:marTop w:val="60"/>
          <w:marBottom w:val="0"/>
          <w:divBdr>
            <w:top w:val="none" w:sz="0" w:space="0" w:color="auto"/>
            <w:left w:val="none" w:sz="0" w:space="0" w:color="auto"/>
            <w:bottom w:val="none" w:sz="0" w:space="0" w:color="auto"/>
            <w:right w:val="none" w:sz="0" w:space="0" w:color="auto"/>
          </w:divBdr>
        </w:div>
      </w:divsChild>
    </w:div>
    <w:div w:id="250819879">
      <w:bodyDiv w:val="1"/>
      <w:marLeft w:val="0"/>
      <w:marRight w:val="0"/>
      <w:marTop w:val="0"/>
      <w:marBottom w:val="0"/>
      <w:divBdr>
        <w:top w:val="none" w:sz="0" w:space="0" w:color="auto"/>
        <w:left w:val="none" w:sz="0" w:space="0" w:color="auto"/>
        <w:bottom w:val="none" w:sz="0" w:space="0" w:color="auto"/>
        <w:right w:val="none" w:sz="0" w:space="0" w:color="auto"/>
      </w:divBdr>
      <w:divsChild>
        <w:div w:id="655645783">
          <w:marLeft w:val="547"/>
          <w:marRight w:val="0"/>
          <w:marTop w:val="60"/>
          <w:marBottom w:val="0"/>
          <w:divBdr>
            <w:top w:val="none" w:sz="0" w:space="0" w:color="auto"/>
            <w:left w:val="none" w:sz="0" w:space="0" w:color="auto"/>
            <w:bottom w:val="none" w:sz="0" w:space="0" w:color="auto"/>
            <w:right w:val="none" w:sz="0" w:space="0" w:color="auto"/>
          </w:divBdr>
        </w:div>
        <w:div w:id="1224367982">
          <w:marLeft w:val="1123"/>
          <w:marRight w:val="0"/>
          <w:marTop w:val="60"/>
          <w:marBottom w:val="0"/>
          <w:divBdr>
            <w:top w:val="none" w:sz="0" w:space="0" w:color="auto"/>
            <w:left w:val="none" w:sz="0" w:space="0" w:color="auto"/>
            <w:bottom w:val="none" w:sz="0" w:space="0" w:color="auto"/>
            <w:right w:val="none" w:sz="0" w:space="0" w:color="auto"/>
          </w:divBdr>
        </w:div>
        <w:div w:id="1411388677">
          <w:marLeft w:val="547"/>
          <w:marRight w:val="0"/>
          <w:marTop w:val="60"/>
          <w:marBottom w:val="0"/>
          <w:divBdr>
            <w:top w:val="none" w:sz="0" w:space="0" w:color="auto"/>
            <w:left w:val="none" w:sz="0" w:space="0" w:color="auto"/>
            <w:bottom w:val="none" w:sz="0" w:space="0" w:color="auto"/>
            <w:right w:val="none" w:sz="0" w:space="0" w:color="auto"/>
          </w:divBdr>
        </w:div>
        <w:div w:id="1810587864">
          <w:marLeft w:val="1123"/>
          <w:marRight w:val="0"/>
          <w:marTop w:val="60"/>
          <w:marBottom w:val="0"/>
          <w:divBdr>
            <w:top w:val="none" w:sz="0" w:space="0" w:color="auto"/>
            <w:left w:val="none" w:sz="0" w:space="0" w:color="auto"/>
            <w:bottom w:val="none" w:sz="0" w:space="0" w:color="auto"/>
            <w:right w:val="none" w:sz="0" w:space="0" w:color="auto"/>
          </w:divBdr>
        </w:div>
      </w:divsChild>
    </w:div>
    <w:div w:id="289823888">
      <w:bodyDiv w:val="1"/>
      <w:marLeft w:val="0"/>
      <w:marRight w:val="0"/>
      <w:marTop w:val="0"/>
      <w:marBottom w:val="0"/>
      <w:divBdr>
        <w:top w:val="none" w:sz="0" w:space="0" w:color="auto"/>
        <w:left w:val="none" w:sz="0" w:space="0" w:color="auto"/>
        <w:bottom w:val="none" w:sz="0" w:space="0" w:color="auto"/>
        <w:right w:val="none" w:sz="0" w:space="0" w:color="auto"/>
      </w:divBdr>
      <w:divsChild>
        <w:div w:id="34820292">
          <w:marLeft w:val="1123"/>
          <w:marRight w:val="0"/>
          <w:marTop w:val="60"/>
          <w:marBottom w:val="0"/>
          <w:divBdr>
            <w:top w:val="none" w:sz="0" w:space="0" w:color="auto"/>
            <w:left w:val="none" w:sz="0" w:space="0" w:color="auto"/>
            <w:bottom w:val="none" w:sz="0" w:space="0" w:color="auto"/>
            <w:right w:val="none" w:sz="0" w:space="0" w:color="auto"/>
          </w:divBdr>
        </w:div>
        <w:div w:id="44640908">
          <w:marLeft w:val="1123"/>
          <w:marRight w:val="0"/>
          <w:marTop w:val="60"/>
          <w:marBottom w:val="0"/>
          <w:divBdr>
            <w:top w:val="none" w:sz="0" w:space="0" w:color="auto"/>
            <w:left w:val="none" w:sz="0" w:space="0" w:color="auto"/>
            <w:bottom w:val="none" w:sz="0" w:space="0" w:color="auto"/>
            <w:right w:val="none" w:sz="0" w:space="0" w:color="auto"/>
          </w:divBdr>
        </w:div>
        <w:div w:id="905998055">
          <w:marLeft w:val="1699"/>
          <w:marRight w:val="0"/>
          <w:marTop w:val="60"/>
          <w:marBottom w:val="0"/>
          <w:divBdr>
            <w:top w:val="none" w:sz="0" w:space="0" w:color="auto"/>
            <w:left w:val="none" w:sz="0" w:space="0" w:color="auto"/>
            <w:bottom w:val="none" w:sz="0" w:space="0" w:color="auto"/>
            <w:right w:val="none" w:sz="0" w:space="0" w:color="auto"/>
          </w:divBdr>
        </w:div>
        <w:div w:id="1099643543">
          <w:marLeft w:val="547"/>
          <w:marRight w:val="0"/>
          <w:marTop w:val="60"/>
          <w:marBottom w:val="0"/>
          <w:divBdr>
            <w:top w:val="none" w:sz="0" w:space="0" w:color="auto"/>
            <w:left w:val="none" w:sz="0" w:space="0" w:color="auto"/>
            <w:bottom w:val="none" w:sz="0" w:space="0" w:color="auto"/>
            <w:right w:val="none" w:sz="0" w:space="0" w:color="auto"/>
          </w:divBdr>
        </w:div>
        <w:div w:id="1248419710">
          <w:marLeft w:val="1123"/>
          <w:marRight w:val="0"/>
          <w:marTop w:val="60"/>
          <w:marBottom w:val="0"/>
          <w:divBdr>
            <w:top w:val="none" w:sz="0" w:space="0" w:color="auto"/>
            <w:left w:val="none" w:sz="0" w:space="0" w:color="auto"/>
            <w:bottom w:val="none" w:sz="0" w:space="0" w:color="auto"/>
            <w:right w:val="none" w:sz="0" w:space="0" w:color="auto"/>
          </w:divBdr>
        </w:div>
        <w:div w:id="1495802352">
          <w:marLeft w:val="547"/>
          <w:marRight w:val="0"/>
          <w:marTop w:val="60"/>
          <w:marBottom w:val="0"/>
          <w:divBdr>
            <w:top w:val="none" w:sz="0" w:space="0" w:color="auto"/>
            <w:left w:val="none" w:sz="0" w:space="0" w:color="auto"/>
            <w:bottom w:val="none" w:sz="0" w:space="0" w:color="auto"/>
            <w:right w:val="none" w:sz="0" w:space="0" w:color="auto"/>
          </w:divBdr>
        </w:div>
      </w:divsChild>
    </w:div>
    <w:div w:id="291177264">
      <w:bodyDiv w:val="1"/>
      <w:marLeft w:val="0"/>
      <w:marRight w:val="0"/>
      <w:marTop w:val="0"/>
      <w:marBottom w:val="0"/>
      <w:divBdr>
        <w:top w:val="none" w:sz="0" w:space="0" w:color="auto"/>
        <w:left w:val="none" w:sz="0" w:space="0" w:color="auto"/>
        <w:bottom w:val="none" w:sz="0" w:space="0" w:color="auto"/>
        <w:right w:val="none" w:sz="0" w:space="0" w:color="auto"/>
      </w:divBdr>
    </w:div>
    <w:div w:id="308366297">
      <w:bodyDiv w:val="1"/>
      <w:marLeft w:val="0"/>
      <w:marRight w:val="0"/>
      <w:marTop w:val="0"/>
      <w:marBottom w:val="0"/>
      <w:divBdr>
        <w:top w:val="none" w:sz="0" w:space="0" w:color="auto"/>
        <w:left w:val="none" w:sz="0" w:space="0" w:color="auto"/>
        <w:bottom w:val="none" w:sz="0" w:space="0" w:color="auto"/>
        <w:right w:val="none" w:sz="0" w:space="0" w:color="auto"/>
      </w:divBdr>
    </w:div>
    <w:div w:id="372965423">
      <w:bodyDiv w:val="1"/>
      <w:marLeft w:val="0"/>
      <w:marRight w:val="0"/>
      <w:marTop w:val="0"/>
      <w:marBottom w:val="0"/>
      <w:divBdr>
        <w:top w:val="none" w:sz="0" w:space="0" w:color="auto"/>
        <w:left w:val="none" w:sz="0" w:space="0" w:color="auto"/>
        <w:bottom w:val="none" w:sz="0" w:space="0" w:color="auto"/>
        <w:right w:val="none" w:sz="0" w:space="0" w:color="auto"/>
      </w:divBdr>
    </w:div>
    <w:div w:id="421798904">
      <w:bodyDiv w:val="1"/>
      <w:marLeft w:val="0"/>
      <w:marRight w:val="0"/>
      <w:marTop w:val="0"/>
      <w:marBottom w:val="0"/>
      <w:divBdr>
        <w:top w:val="none" w:sz="0" w:space="0" w:color="auto"/>
        <w:left w:val="none" w:sz="0" w:space="0" w:color="auto"/>
        <w:bottom w:val="none" w:sz="0" w:space="0" w:color="auto"/>
        <w:right w:val="none" w:sz="0" w:space="0" w:color="auto"/>
      </w:divBdr>
      <w:divsChild>
        <w:div w:id="1389569471">
          <w:marLeft w:val="547"/>
          <w:marRight w:val="0"/>
          <w:marTop w:val="0"/>
          <w:marBottom w:val="0"/>
          <w:divBdr>
            <w:top w:val="none" w:sz="0" w:space="0" w:color="auto"/>
            <w:left w:val="none" w:sz="0" w:space="0" w:color="auto"/>
            <w:bottom w:val="none" w:sz="0" w:space="0" w:color="auto"/>
            <w:right w:val="none" w:sz="0" w:space="0" w:color="auto"/>
          </w:divBdr>
        </w:div>
      </w:divsChild>
    </w:div>
    <w:div w:id="425417642">
      <w:bodyDiv w:val="1"/>
      <w:marLeft w:val="0"/>
      <w:marRight w:val="0"/>
      <w:marTop w:val="0"/>
      <w:marBottom w:val="0"/>
      <w:divBdr>
        <w:top w:val="none" w:sz="0" w:space="0" w:color="auto"/>
        <w:left w:val="none" w:sz="0" w:space="0" w:color="auto"/>
        <w:bottom w:val="none" w:sz="0" w:space="0" w:color="auto"/>
        <w:right w:val="none" w:sz="0" w:space="0" w:color="auto"/>
      </w:divBdr>
      <w:divsChild>
        <w:div w:id="577521104">
          <w:marLeft w:val="547"/>
          <w:marRight w:val="0"/>
          <w:marTop w:val="60"/>
          <w:marBottom w:val="0"/>
          <w:divBdr>
            <w:top w:val="none" w:sz="0" w:space="0" w:color="auto"/>
            <w:left w:val="none" w:sz="0" w:space="0" w:color="auto"/>
            <w:bottom w:val="none" w:sz="0" w:space="0" w:color="auto"/>
            <w:right w:val="none" w:sz="0" w:space="0" w:color="auto"/>
          </w:divBdr>
        </w:div>
        <w:div w:id="880095860">
          <w:marLeft w:val="547"/>
          <w:marRight w:val="0"/>
          <w:marTop w:val="60"/>
          <w:marBottom w:val="0"/>
          <w:divBdr>
            <w:top w:val="none" w:sz="0" w:space="0" w:color="auto"/>
            <w:left w:val="none" w:sz="0" w:space="0" w:color="auto"/>
            <w:bottom w:val="none" w:sz="0" w:space="0" w:color="auto"/>
            <w:right w:val="none" w:sz="0" w:space="0" w:color="auto"/>
          </w:divBdr>
        </w:div>
        <w:div w:id="890845319">
          <w:marLeft w:val="547"/>
          <w:marRight w:val="0"/>
          <w:marTop w:val="60"/>
          <w:marBottom w:val="0"/>
          <w:divBdr>
            <w:top w:val="none" w:sz="0" w:space="0" w:color="auto"/>
            <w:left w:val="none" w:sz="0" w:space="0" w:color="auto"/>
            <w:bottom w:val="none" w:sz="0" w:space="0" w:color="auto"/>
            <w:right w:val="none" w:sz="0" w:space="0" w:color="auto"/>
          </w:divBdr>
        </w:div>
        <w:div w:id="959216145">
          <w:marLeft w:val="1123"/>
          <w:marRight w:val="0"/>
          <w:marTop w:val="60"/>
          <w:marBottom w:val="0"/>
          <w:divBdr>
            <w:top w:val="none" w:sz="0" w:space="0" w:color="auto"/>
            <w:left w:val="none" w:sz="0" w:space="0" w:color="auto"/>
            <w:bottom w:val="none" w:sz="0" w:space="0" w:color="auto"/>
            <w:right w:val="none" w:sz="0" w:space="0" w:color="auto"/>
          </w:divBdr>
        </w:div>
        <w:div w:id="1193572874">
          <w:marLeft w:val="1123"/>
          <w:marRight w:val="0"/>
          <w:marTop w:val="60"/>
          <w:marBottom w:val="0"/>
          <w:divBdr>
            <w:top w:val="none" w:sz="0" w:space="0" w:color="auto"/>
            <w:left w:val="none" w:sz="0" w:space="0" w:color="auto"/>
            <w:bottom w:val="none" w:sz="0" w:space="0" w:color="auto"/>
            <w:right w:val="none" w:sz="0" w:space="0" w:color="auto"/>
          </w:divBdr>
        </w:div>
        <w:div w:id="1222443993">
          <w:marLeft w:val="1123"/>
          <w:marRight w:val="0"/>
          <w:marTop w:val="60"/>
          <w:marBottom w:val="0"/>
          <w:divBdr>
            <w:top w:val="none" w:sz="0" w:space="0" w:color="auto"/>
            <w:left w:val="none" w:sz="0" w:space="0" w:color="auto"/>
            <w:bottom w:val="none" w:sz="0" w:space="0" w:color="auto"/>
            <w:right w:val="none" w:sz="0" w:space="0" w:color="auto"/>
          </w:divBdr>
        </w:div>
        <w:div w:id="1368144317">
          <w:marLeft w:val="1123"/>
          <w:marRight w:val="0"/>
          <w:marTop w:val="60"/>
          <w:marBottom w:val="0"/>
          <w:divBdr>
            <w:top w:val="none" w:sz="0" w:space="0" w:color="auto"/>
            <w:left w:val="none" w:sz="0" w:space="0" w:color="auto"/>
            <w:bottom w:val="none" w:sz="0" w:space="0" w:color="auto"/>
            <w:right w:val="none" w:sz="0" w:space="0" w:color="auto"/>
          </w:divBdr>
        </w:div>
        <w:div w:id="1559853658">
          <w:marLeft w:val="547"/>
          <w:marRight w:val="0"/>
          <w:marTop w:val="60"/>
          <w:marBottom w:val="0"/>
          <w:divBdr>
            <w:top w:val="none" w:sz="0" w:space="0" w:color="auto"/>
            <w:left w:val="none" w:sz="0" w:space="0" w:color="auto"/>
            <w:bottom w:val="none" w:sz="0" w:space="0" w:color="auto"/>
            <w:right w:val="none" w:sz="0" w:space="0" w:color="auto"/>
          </w:divBdr>
        </w:div>
        <w:div w:id="1641839988">
          <w:marLeft w:val="1123"/>
          <w:marRight w:val="0"/>
          <w:marTop w:val="60"/>
          <w:marBottom w:val="0"/>
          <w:divBdr>
            <w:top w:val="none" w:sz="0" w:space="0" w:color="auto"/>
            <w:left w:val="none" w:sz="0" w:space="0" w:color="auto"/>
            <w:bottom w:val="none" w:sz="0" w:space="0" w:color="auto"/>
            <w:right w:val="none" w:sz="0" w:space="0" w:color="auto"/>
          </w:divBdr>
        </w:div>
        <w:div w:id="1670600815">
          <w:marLeft w:val="1123"/>
          <w:marRight w:val="0"/>
          <w:marTop w:val="60"/>
          <w:marBottom w:val="0"/>
          <w:divBdr>
            <w:top w:val="none" w:sz="0" w:space="0" w:color="auto"/>
            <w:left w:val="none" w:sz="0" w:space="0" w:color="auto"/>
            <w:bottom w:val="none" w:sz="0" w:space="0" w:color="auto"/>
            <w:right w:val="none" w:sz="0" w:space="0" w:color="auto"/>
          </w:divBdr>
        </w:div>
        <w:div w:id="1744521619">
          <w:marLeft w:val="547"/>
          <w:marRight w:val="0"/>
          <w:marTop w:val="60"/>
          <w:marBottom w:val="0"/>
          <w:divBdr>
            <w:top w:val="none" w:sz="0" w:space="0" w:color="auto"/>
            <w:left w:val="none" w:sz="0" w:space="0" w:color="auto"/>
            <w:bottom w:val="none" w:sz="0" w:space="0" w:color="auto"/>
            <w:right w:val="none" w:sz="0" w:space="0" w:color="auto"/>
          </w:divBdr>
        </w:div>
      </w:divsChild>
    </w:div>
    <w:div w:id="459307571">
      <w:bodyDiv w:val="1"/>
      <w:marLeft w:val="0"/>
      <w:marRight w:val="0"/>
      <w:marTop w:val="0"/>
      <w:marBottom w:val="0"/>
      <w:divBdr>
        <w:top w:val="none" w:sz="0" w:space="0" w:color="auto"/>
        <w:left w:val="none" w:sz="0" w:space="0" w:color="auto"/>
        <w:bottom w:val="none" w:sz="0" w:space="0" w:color="auto"/>
        <w:right w:val="none" w:sz="0" w:space="0" w:color="auto"/>
      </w:divBdr>
    </w:div>
    <w:div w:id="473447693">
      <w:bodyDiv w:val="1"/>
      <w:marLeft w:val="0"/>
      <w:marRight w:val="0"/>
      <w:marTop w:val="0"/>
      <w:marBottom w:val="0"/>
      <w:divBdr>
        <w:top w:val="none" w:sz="0" w:space="0" w:color="auto"/>
        <w:left w:val="none" w:sz="0" w:space="0" w:color="auto"/>
        <w:bottom w:val="none" w:sz="0" w:space="0" w:color="auto"/>
        <w:right w:val="none" w:sz="0" w:space="0" w:color="auto"/>
      </w:divBdr>
      <w:divsChild>
        <w:div w:id="759377957">
          <w:marLeft w:val="1699"/>
          <w:marRight w:val="0"/>
          <w:marTop w:val="60"/>
          <w:marBottom w:val="0"/>
          <w:divBdr>
            <w:top w:val="none" w:sz="0" w:space="0" w:color="auto"/>
            <w:left w:val="none" w:sz="0" w:space="0" w:color="auto"/>
            <w:bottom w:val="none" w:sz="0" w:space="0" w:color="auto"/>
            <w:right w:val="none" w:sz="0" w:space="0" w:color="auto"/>
          </w:divBdr>
        </w:div>
        <w:div w:id="1125393665">
          <w:marLeft w:val="547"/>
          <w:marRight w:val="0"/>
          <w:marTop w:val="60"/>
          <w:marBottom w:val="0"/>
          <w:divBdr>
            <w:top w:val="none" w:sz="0" w:space="0" w:color="auto"/>
            <w:left w:val="none" w:sz="0" w:space="0" w:color="auto"/>
            <w:bottom w:val="none" w:sz="0" w:space="0" w:color="auto"/>
            <w:right w:val="none" w:sz="0" w:space="0" w:color="auto"/>
          </w:divBdr>
        </w:div>
        <w:div w:id="1195342323">
          <w:marLeft w:val="1123"/>
          <w:marRight w:val="0"/>
          <w:marTop w:val="60"/>
          <w:marBottom w:val="0"/>
          <w:divBdr>
            <w:top w:val="none" w:sz="0" w:space="0" w:color="auto"/>
            <w:left w:val="none" w:sz="0" w:space="0" w:color="auto"/>
            <w:bottom w:val="none" w:sz="0" w:space="0" w:color="auto"/>
            <w:right w:val="none" w:sz="0" w:space="0" w:color="auto"/>
          </w:divBdr>
        </w:div>
        <w:div w:id="1684209739">
          <w:marLeft w:val="1123"/>
          <w:marRight w:val="0"/>
          <w:marTop w:val="60"/>
          <w:marBottom w:val="0"/>
          <w:divBdr>
            <w:top w:val="none" w:sz="0" w:space="0" w:color="auto"/>
            <w:left w:val="none" w:sz="0" w:space="0" w:color="auto"/>
            <w:bottom w:val="none" w:sz="0" w:space="0" w:color="auto"/>
            <w:right w:val="none" w:sz="0" w:space="0" w:color="auto"/>
          </w:divBdr>
        </w:div>
        <w:div w:id="1829132128">
          <w:marLeft w:val="1699"/>
          <w:marRight w:val="0"/>
          <w:marTop w:val="60"/>
          <w:marBottom w:val="0"/>
          <w:divBdr>
            <w:top w:val="none" w:sz="0" w:space="0" w:color="auto"/>
            <w:left w:val="none" w:sz="0" w:space="0" w:color="auto"/>
            <w:bottom w:val="none" w:sz="0" w:space="0" w:color="auto"/>
            <w:right w:val="none" w:sz="0" w:space="0" w:color="auto"/>
          </w:divBdr>
        </w:div>
      </w:divsChild>
    </w:div>
    <w:div w:id="501748418">
      <w:bodyDiv w:val="1"/>
      <w:marLeft w:val="0"/>
      <w:marRight w:val="0"/>
      <w:marTop w:val="0"/>
      <w:marBottom w:val="0"/>
      <w:divBdr>
        <w:top w:val="none" w:sz="0" w:space="0" w:color="auto"/>
        <w:left w:val="none" w:sz="0" w:space="0" w:color="auto"/>
        <w:bottom w:val="none" w:sz="0" w:space="0" w:color="auto"/>
        <w:right w:val="none" w:sz="0" w:space="0" w:color="auto"/>
      </w:divBdr>
    </w:div>
    <w:div w:id="512190454">
      <w:bodyDiv w:val="1"/>
      <w:marLeft w:val="0"/>
      <w:marRight w:val="0"/>
      <w:marTop w:val="0"/>
      <w:marBottom w:val="0"/>
      <w:divBdr>
        <w:top w:val="none" w:sz="0" w:space="0" w:color="auto"/>
        <w:left w:val="none" w:sz="0" w:space="0" w:color="auto"/>
        <w:bottom w:val="none" w:sz="0" w:space="0" w:color="auto"/>
        <w:right w:val="none" w:sz="0" w:space="0" w:color="auto"/>
      </w:divBdr>
      <w:divsChild>
        <w:div w:id="1314290075">
          <w:marLeft w:val="547"/>
          <w:marRight w:val="0"/>
          <w:marTop w:val="0"/>
          <w:marBottom w:val="0"/>
          <w:divBdr>
            <w:top w:val="none" w:sz="0" w:space="0" w:color="auto"/>
            <w:left w:val="none" w:sz="0" w:space="0" w:color="auto"/>
            <w:bottom w:val="none" w:sz="0" w:space="0" w:color="auto"/>
            <w:right w:val="none" w:sz="0" w:space="0" w:color="auto"/>
          </w:divBdr>
        </w:div>
        <w:div w:id="1841001990">
          <w:marLeft w:val="547"/>
          <w:marRight w:val="0"/>
          <w:marTop w:val="0"/>
          <w:marBottom w:val="0"/>
          <w:divBdr>
            <w:top w:val="none" w:sz="0" w:space="0" w:color="auto"/>
            <w:left w:val="none" w:sz="0" w:space="0" w:color="auto"/>
            <w:bottom w:val="none" w:sz="0" w:space="0" w:color="auto"/>
            <w:right w:val="none" w:sz="0" w:space="0" w:color="auto"/>
          </w:divBdr>
        </w:div>
        <w:div w:id="1929843991">
          <w:marLeft w:val="547"/>
          <w:marRight w:val="0"/>
          <w:marTop w:val="0"/>
          <w:marBottom w:val="0"/>
          <w:divBdr>
            <w:top w:val="none" w:sz="0" w:space="0" w:color="auto"/>
            <w:left w:val="none" w:sz="0" w:space="0" w:color="auto"/>
            <w:bottom w:val="none" w:sz="0" w:space="0" w:color="auto"/>
            <w:right w:val="none" w:sz="0" w:space="0" w:color="auto"/>
          </w:divBdr>
        </w:div>
      </w:divsChild>
    </w:div>
    <w:div w:id="518199472">
      <w:bodyDiv w:val="1"/>
      <w:marLeft w:val="0"/>
      <w:marRight w:val="0"/>
      <w:marTop w:val="0"/>
      <w:marBottom w:val="0"/>
      <w:divBdr>
        <w:top w:val="none" w:sz="0" w:space="0" w:color="auto"/>
        <w:left w:val="none" w:sz="0" w:space="0" w:color="auto"/>
        <w:bottom w:val="none" w:sz="0" w:space="0" w:color="auto"/>
        <w:right w:val="none" w:sz="0" w:space="0" w:color="auto"/>
      </w:divBdr>
    </w:div>
    <w:div w:id="537548788">
      <w:bodyDiv w:val="1"/>
      <w:marLeft w:val="0"/>
      <w:marRight w:val="0"/>
      <w:marTop w:val="0"/>
      <w:marBottom w:val="0"/>
      <w:divBdr>
        <w:top w:val="none" w:sz="0" w:space="0" w:color="auto"/>
        <w:left w:val="none" w:sz="0" w:space="0" w:color="auto"/>
        <w:bottom w:val="none" w:sz="0" w:space="0" w:color="auto"/>
        <w:right w:val="none" w:sz="0" w:space="0" w:color="auto"/>
      </w:divBdr>
    </w:div>
    <w:div w:id="579752346">
      <w:bodyDiv w:val="1"/>
      <w:marLeft w:val="0"/>
      <w:marRight w:val="0"/>
      <w:marTop w:val="0"/>
      <w:marBottom w:val="0"/>
      <w:divBdr>
        <w:top w:val="none" w:sz="0" w:space="0" w:color="auto"/>
        <w:left w:val="none" w:sz="0" w:space="0" w:color="auto"/>
        <w:bottom w:val="none" w:sz="0" w:space="0" w:color="auto"/>
        <w:right w:val="none" w:sz="0" w:space="0" w:color="auto"/>
      </w:divBdr>
    </w:div>
    <w:div w:id="656616945">
      <w:bodyDiv w:val="1"/>
      <w:marLeft w:val="0"/>
      <w:marRight w:val="0"/>
      <w:marTop w:val="0"/>
      <w:marBottom w:val="0"/>
      <w:divBdr>
        <w:top w:val="none" w:sz="0" w:space="0" w:color="auto"/>
        <w:left w:val="none" w:sz="0" w:space="0" w:color="auto"/>
        <w:bottom w:val="none" w:sz="0" w:space="0" w:color="auto"/>
        <w:right w:val="none" w:sz="0" w:space="0" w:color="auto"/>
      </w:divBdr>
    </w:div>
    <w:div w:id="668868339">
      <w:bodyDiv w:val="1"/>
      <w:marLeft w:val="0"/>
      <w:marRight w:val="0"/>
      <w:marTop w:val="0"/>
      <w:marBottom w:val="0"/>
      <w:divBdr>
        <w:top w:val="none" w:sz="0" w:space="0" w:color="auto"/>
        <w:left w:val="none" w:sz="0" w:space="0" w:color="auto"/>
        <w:bottom w:val="none" w:sz="0" w:space="0" w:color="auto"/>
        <w:right w:val="none" w:sz="0" w:space="0" w:color="auto"/>
      </w:divBdr>
      <w:divsChild>
        <w:div w:id="1311597608">
          <w:marLeft w:val="547"/>
          <w:marRight w:val="0"/>
          <w:marTop w:val="0"/>
          <w:marBottom w:val="0"/>
          <w:divBdr>
            <w:top w:val="none" w:sz="0" w:space="0" w:color="auto"/>
            <w:left w:val="none" w:sz="0" w:space="0" w:color="auto"/>
            <w:bottom w:val="none" w:sz="0" w:space="0" w:color="auto"/>
            <w:right w:val="none" w:sz="0" w:space="0" w:color="auto"/>
          </w:divBdr>
        </w:div>
        <w:div w:id="1398439389">
          <w:marLeft w:val="547"/>
          <w:marRight w:val="0"/>
          <w:marTop w:val="0"/>
          <w:marBottom w:val="0"/>
          <w:divBdr>
            <w:top w:val="none" w:sz="0" w:space="0" w:color="auto"/>
            <w:left w:val="none" w:sz="0" w:space="0" w:color="auto"/>
            <w:bottom w:val="none" w:sz="0" w:space="0" w:color="auto"/>
            <w:right w:val="none" w:sz="0" w:space="0" w:color="auto"/>
          </w:divBdr>
        </w:div>
        <w:div w:id="1582760387">
          <w:marLeft w:val="547"/>
          <w:marRight w:val="0"/>
          <w:marTop w:val="0"/>
          <w:marBottom w:val="0"/>
          <w:divBdr>
            <w:top w:val="none" w:sz="0" w:space="0" w:color="auto"/>
            <w:left w:val="none" w:sz="0" w:space="0" w:color="auto"/>
            <w:bottom w:val="none" w:sz="0" w:space="0" w:color="auto"/>
            <w:right w:val="none" w:sz="0" w:space="0" w:color="auto"/>
          </w:divBdr>
        </w:div>
      </w:divsChild>
    </w:div>
    <w:div w:id="732971570">
      <w:bodyDiv w:val="1"/>
      <w:marLeft w:val="0"/>
      <w:marRight w:val="0"/>
      <w:marTop w:val="0"/>
      <w:marBottom w:val="0"/>
      <w:divBdr>
        <w:top w:val="none" w:sz="0" w:space="0" w:color="auto"/>
        <w:left w:val="none" w:sz="0" w:space="0" w:color="auto"/>
        <w:bottom w:val="none" w:sz="0" w:space="0" w:color="auto"/>
        <w:right w:val="none" w:sz="0" w:space="0" w:color="auto"/>
      </w:divBdr>
    </w:div>
    <w:div w:id="739982638">
      <w:bodyDiv w:val="1"/>
      <w:marLeft w:val="0"/>
      <w:marRight w:val="0"/>
      <w:marTop w:val="0"/>
      <w:marBottom w:val="0"/>
      <w:divBdr>
        <w:top w:val="none" w:sz="0" w:space="0" w:color="auto"/>
        <w:left w:val="none" w:sz="0" w:space="0" w:color="auto"/>
        <w:bottom w:val="none" w:sz="0" w:space="0" w:color="auto"/>
        <w:right w:val="none" w:sz="0" w:space="0" w:color="auto"/>
      </w:divBdr>
    </w:div>
    <w:div w:id="759716449">
      <w:bodyDiv w:val="1"/>
      <w:marLeft w:val="0"/>
      <w:marRight w:val="0"/>
      <w:marTop w:val="0"/>
      <w:marBottom w:val="0"/>
      <w:divBdr>
        <w:top w:val="none" w:sz="0" w:space="0" w:color="auto"/>
        <w:left w:val="none" w:sz="0" w:space="0" w:color="auto"/>
        <w:bottom w:val="none" w:sz="0" w:space="0" w:color="auto"/>
        <w:right w:val="none" w:sz="0" w:space="0" w:color="auto"/>
      </w:divBdr>
    </w:div>
    <w:div w:id="772629008">
      <w:bodyDiv w:val="1"/>
      <w:marLeft w:val="0"/>
      <w:marRight w:val="0"/>
      <w:marTop w:val="0"/>
      <w:marBottom w:val="0"/>
      <w:divBdr>
        <w:top w:val="none" w:sz="0" w:space="0" w:color="auto"/>
        <w:left w:val="none" w:sz="0" w:space="0" w:color="auto"/>
        <w:bottom w:val="none" w:sz="0" w:space="0" w:color="auto"/>
        <w:right w:val="none" w:sz="0" w:space="0" w:color="auto"/>
      </w:divBdr>
      <w:divsChild>
        <w:div w:id="861699335">
          <w:marLeft w:val="547"/>
          <w:marRight w:val="0"/>
          <w:marTop w:val="0"/>
          <w:marBottom w:val="0"/>
          <w:divBdr>
            <w:top w:val="none" w:sz="0" w:space="0" w:color="auto"/>
            <w:left w:val="none" w:sz="0" w:space="0" w:color="auto"/>
            <w:bottom w:val="none" w:sz="0" w:space="0" w:color="auto"/>
            <w:right w:val="none" w:sz="0" w:space="0" w:color="auto"/>
          </w:divBdr>
        </w:div>
      </w:divsChild>
    </w:div>
    <w:div w:id="801659183">
      <w:bodyDiv w:val="1"/>
      <w:marLeft w:val="0"/>
      <w:marRight w:val="0"/>
      <w:marTop w:val="0"/>
      <w:marBottom w:val="0"/>
      <w:divBdr>
        <w:top w:val="none" w:sz="0" w:space="0" w:color="auto"/>
        <w:left w:val="none" w:sz="0" w:space="0" w:color="auto"/>
        <w:bottom w:val="none" w:sz="0" w:space="0" w:color="auto"/>
        <w:right w:val="none" w:sz="0" w:space="0" w:color="auto"/>
      </w:divBdr>
    </w:div>
    <w:div w:id="840195868">
      <w:bodyDiv w:val="1"/>
      <w:marLeft w:val="0"/>
      <w:marRight w:val="0"/>
      <w:marTop w:val="0"/>
      <w:marBottom w:val="0"/>
      <w:divBdr>
        <w:top w:val="none" w:sz="0" w:space="0" w:color="auto"/>
        <w:left w:val="none" w:sz="0" w:space="0" w:color="auto"/>
        <w:bottom w:val="none" w:sz="0" w:space="0" w:color="auto"/>
        <w:right w:val="none" w:sz="0" w:space="0" w:color="auto"/>
      </w:divBdr>
    </w:div>
    <w:div w:id="848832620">
      <w:bodyDiv w:val="1"/>
      <w:marLeft w:val="0"/>
      <w:marRight w:val="0"/>
      <w:marTop w:val="0"/>
      <w:marBottom w:val="0"/>
      <w:divBdr>
        <w:top w:val="none" w:sz="0" w:space="0" w:color="auto"/>
        <w:left w:val="none" w:sz="0" w:space="0" w:color="auto"/>
        <w:bottom w:val="none" w:sz="0" w:space="0" w:color="auto"/>
        <w:right w:val="none" w:sz="0" w:space="0" w:color="auto"/>
      </w:divBdr>
    </w:div>
    <w:div w:id="855966551">
      <w:bodyDiv w:val="1"/>
      <w:marLeft w:val="0"/>
      <w:marRight w:val="0"/>
      <w:marTop w:val="0"/>
      <w:marBottom w:val="0"/>
      <w:divBdr>
        <w:top w:val="none" w:sz="0" w:space="0" w:color="auto"/>
        <w:left w:val="none" w:sz="0" w:space="0" w:color="auto"/>
        <w:bottom w:val="none" w:sz="0" w:space="0" w:color="auto"/>
        <w:right w:val="none" w:sz="0" w:space="0" w:color="auto"/>
      </w:divBdr>
    </w:div>
    <w:div w:id="882639294">
      <w:bodyDiv w:val="1"/>
      <w:marLeft w:val="0"/>
      <w:marRight w:val="0"/>
      <w:marTop w:val="0"/>
      <w:marBottom w:val="0"/>
      <w:divBdr>
        <w:top w:val="none" w:sz="0" w:space="0" w:color="auto"/>
        <w:left w:val="none" w:sz="0" w:space="0" w:color="auto"/>
        <w:bottom w:val="none" w:sz="0" w:space="0" w:color="auto"/>
        <w:right w:val="none" w:sz="0" w:space="0" w:color="auto"/>
      </w:divBdr>
    </w:div>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908658141">
      <w:bodyDiv w:val="1"/>
      <w:marLeft w:val="0"/>
      <w:marRight w:val="0"/>
      <w:marTop w:val="0"/>
      <w:marBottom w:val="0"/>
      <w:divBdr>
        <w:top w:val="none" w:sz="0" w:space="0" w:color="auto"/>
        <w:left w:val="none" w:sz="0" w:space="0" w:color="auto"/>
        <w:bottom w:val="none" w:sz="0" w:space="0" w:color="auto"/>
        <w:right w:val="none" w:sz="0" w:space="0" w:color="auto"/>
      </w:divBdr>
    </w:div>
    <w:div w:id="913007003">
      <w:bodyDiv w:val="1"/>
      <w:marLeft w:val="0"/>
      <w:marRight w:val="0"/>
      <w:marTop w:val="0"/>
      <w:marBottom w:val="0"/>
      <w:divBdr>
        <w:top w:val="none" w:sz="0" w:space="0" w:color="auto"/>
        <w:left w:val="none" w:sz="0" w:space="0" w:color="auto"/>
        <w:bottom w:val="none" w:sz="0" w:space="0" w:color="auto"/>
        <w:right w:val="none" w:sz="0" w:space="0" w:color="auto"/>
      </w:divBdr>
      <w:divsChild>
        <w:div w:id="687676185">
          <w:marLeft w:val="547"/>
          <w:marRight w:val="0"/>
          <w:marTop w:val="0"/>
          <w:marBottom w:val="0"/>
          <w:divBdr>
            <w:top w:val="none" w:sz="0" w:space="0" w:color="auto"/>
            <w:left w:val="none" w:sz="0" w:space="0" w:color="auto"/>
            <w:bottom w:val="none" w:sz="0" w:space="0" w:color="auto"/>
            <w:right w:val="none" w:sz="0" w:space="0" w:color="auto"/>
          </w:divBdr>
        </w:div>
        <w:div w:id="1486046664">
          <w:marLeft w:val="547"/>
          <w:marRight w:val="0"/>
          <w:marTop w:val="0"/>
          <w:marBottom w:val="0"/>
          <w:divBdr>
            <w:top w:val="none" w:sz="0" w:space="0" w:color="auto"/>
            <w:left w:val="none" w:sz="0" w:space="0" w:color="auto"/>
            <w:bottom w:val="none" w:sz="0" w:space="0" w:color="auto"/>
            <w:right w:val="none" w:sz="0" w:space="0" w:color="auto"/>
          </w:divBdr>
        </w:div>
      </w:divsChild>
    </w:div>
    <w:div w:id="927735097">
      <w:bodyDiv w:val="1"/>
      <w:marLeft w:val="0"/>
      <w:marRight w:val="0"/>
      <w:marTop w:val="0"/>
      <w:marBottom w:val="0"/>
      <w:divBdr>
        <w:top w:val="none" w:sz="0" w:space="0" w:color="auto"/>
        <w:left w:val="none" w:sz="0" w:space="0" w:color="auto"/>
        <w:bottom w:val="none" w:sz="0" w:space="0" w:color="auto"/>
        <w:right w:val="none" w:sz="0" w:space="0" w:color="auto"/>
      </w:divBdr>
      <w:divsChild>
        <w:div w:id="89856302">
          <w:marLeft w:val="547"/>
          <w:marRight w:val="0"/>
          <w:marTop w:val="60"/>
          <w:marBottom w:val="0"/>
          <w:divBdr>
            <w:top w:val="none" w:sz="0" w:space="0" w:color="auto"/>
            <w:left w:val="none" w:sz="0" w:space="0" w:color="auto"/>
            <w:bottom w:val="none" w:sz="0" w:space="0" w:color="auto"/>
            <w:right w:val="none" w:sz="0" w:space="0" w:color="auto"/>
          </w:divBdr>
        </w:div>
        <w:div w:id="457072928">
          <w:marLeft w:val="1123"/>
          <w:marRight w:val="0"/>
          <w:marTop w:val="60"/>
          <w:marBottom w:val="0"/>
          <w:divBdr>
            <w:top w:val="none" w:sz="0" w:space="0" w:color="auto"/>
            <w:left w:val="none" w:sz="0" w:space="0" w:color="auto"/>
            <w:bottom w:val="none" w:sz="0" w:space="0" w:color="auto"/>
            <w:right w:val="none" w:sz="0" w:space="0" w:color="auto"/>
          </w:divBdr>
        </w:div>
        <w:div w:id="922956649">
          <w:marLeft w:val="1699"/>
          <w:marRight w:val="0"/>
          <w:marTop w:val="60"/>
          <w:marBottom w:val="0"/>
          <w:divBdr>
            <w:top w:val="none" w:sz="0" w:space="0" w:color="auto"/>
            <w:left w:val="none" w:sz="0" w:space="0" w:color="auto"/>
            <w:bottom w:val="none" w:sz="0" w:space="0" w:color="auto"/>
            <w:right w:val="none" w:sz="0" w:space="0" w:color="auto"/>
          </w:divBdr>
        </w:div>
        <w:div w:id="1239055240">
          <w:marLeft w:val="1699"/>
          <w:marRight w:val="0"/>
          <w:marTop w:val="60"/>
          <w:marBottom w:val="0"/>
          <w:divBdr>
            <w:top w:val="none" w:sz="0" w:space="0" w:color="auto"/>
            <w:left w:val="none" w:sz="0" w:space="0" w:color="auto"/>
            <w:bottom w:val="none" w:sz="0" w:space="0" w:color="auto"/>
            <w:right w:val="none" w:sz="0" w:space="0" w:color="auto"/>
          </w:divBdr>
        </w:div>
        <w:div w:id="1981614016">
          <w:marLeft w:val="1123"/>
          <w:marRight w:val="0"/>
          <w:marTop w:val="60"/>
          <w:marBottom w:val="0"/>
          <w:divBdr>
            <w:top w:val="none" w:sz="0" w:space="0" w:color="auto"/>
            <w:left w:val="none" w:sz="0" w:space="0" w:color="auto"/>
            <w:bottom w:val="none" w:sz="0" w:space="0" w:color="auto"/>
            <w:right w:val="none" w:sz="0" w:space="0" w:color="auto"/>
          </w:divBdr>
        </w:div>
      </w:divsChild>
    </w:div>
    <w:div w:id="955872924">
      <w:bodyDiv w:val="1"/>
      <w:marLeft w:val="0"/>
      <w:marRight w:val="0"/>
      <w:marTop w:val="0"/>
      <w:marBottom w:val="0"/>
      <w:divBdr>
        <w:top w:val="none" w:sz="0" w:space="0" w:color="auto"/>
        <w:left w:val="none" w:sz="0" w:space="0" w:color="auto"/>
        <w:bottom w:val="none" w:sz="0" w:space="0" w:color="auto"/>
        <w:right w:val="none" w:sz="0" w:space="0" w:color="auto"/>
      </w:divBdr>
    </w:div>
    <w:div w:id="972953123">
      <w:bodyDiv w:val="1"/>
      <w:marLeft w:val="0"/>
      <w:marRight w:val="0"/>
      <w:marTop w:val="0"/>
      <w:marBottom w:val="0"/>
      <w:divBdr>
        <w:top w:val="none" w:sz="0" w:space="0" w:color="auto"/>
        <w:left w:val="none" w:sz="0" w:space="0" w:color="auto"/>
        <w:bottom w:val="none" w:sz="0" w:space="0" w:color="auto"/>
        <w:right w:val="none" w:sz="0" w:space="0" w:color="auto"/>
      </w:divBdr>
    </w:div>
    <w:div w:id="1016734192">
      <w:bodyDiv w:val="1"/>
      <w:marLeft w:val="0"/>
      <w:marRight w:val="0"/>
      <w:marTop w:val="0"/>
      <w:marBottom w:val="0"/>
      <w:divBdr>
        <w:top w:val="none" w:sz="0" w:space="0" w:color="auto"/>
        <w:left w:val="none" w:sz="0" w:space="0" w:color="auto"/>
        <w:bottom w:val="none" w:sz="0" w:space="0" w:color="auto"/>
        <w:right w:val="none" w:sz="0" w:space="0" w:color="auto"/>
      </w:divBdr>
    </w:div>
    <w:div w:id="1026636361">
      <w:bodyDiv w:val="1"/>
      <w:marLeft w:val="0"/>
      <w:marRight w:val="0"/>
      <w:marTop w:val="0"/>
      <w:marBottom w:val="0"/>
      <w:divBdr>
        <w:top w:val="none" w:sz="0" w:space="0" w:color="auto"/>
        <w:left w:val="none" w:sz="0" w:space="0" w:color="auto"/>
        <w:bottom w:val="none" w:sz="0" w:space="0" w:color="auto"/>
        <w:right w:val="none" w:sz="0" w:space="0" w:color="auto"/>
      </w:divBdr>
    </w:div>
    <w:div w:id="1047681948">
      <w:bodyDiv w:val="1"/>
      <w:marLeft w:val="0"/>
      <w:marRight w:val="0"/>
      <w:marTop w:val="0"/>
      <w:marBottom w:val="0"/>
      <w:divBdr>
        <w:top w:val="none" w:sz="0" w:space="0" w:color="auto"/>
        <w:left w:val="none" w:sz="0" w:space="0" w:color="auto"/>
        <w:bottom w:val="none" w:sz="0" w:space="0" w:color="auto"/>
        <w:right w:val="none" w:sz="0" w:space="0" w:color="auto"/>
      </w:divBdr>
    </w:div>
    <w:div w:id="1081294699">
      <w:bodyDiv w:val="1"/>
      <w:marLeft w:val="0"/>
      <w:marRight w:val="0"/>
      <w:marTop w:val="0"/>
      <w:marBottom w:val="0"/>
      <w:divBdr>
        <w:top w:val="none" w:sz="0" w:space="0" w:color="auto"/>
        <w:left w:val="none" w:sz="0" w:space="0" w:color="auto"/>
        <w:bottom w:val="none" w:sz="0" w:space="0" w:color="auto"/>
        <w:right w:val="none" w:sz="0" w:space="0" w:color="auto"/>
      </w:divBdr>
    </w:div>
    <w:div w:id="1083333326">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186404013">
      <w:bodyDiv w:val="1"/>
      <w:marLeft w:val="0"/>
      <w:marRight w:val="0"/>
      <w:marTop w:val="0"/>
      <w:marBottom w:val="0"/>
      <w:divBdr>
        <w:top w:val="none" w:sz="0" w:space="0" w:color="auto"/>
        <w:left w:val="none" w:sz="0" w:space="0" w:color="auto"/>
        <w:bottom w:val="none" w:sz="0" w:space="0" w:color="auto"/>
        <w:right w:val="none" w:sz="0" w:space="0" w:color="auto"/>
      </w:divBdr>
    </w:div>
    <w:div w:id="1194735506">
      <w:bodyDiv w:val="1"/>
      <w:marLeft w:val="0"/>
      <w:marRight w:val="0"/>
      <w:marTop w:val="0"/>
      <w:marBottom w:val="0"/>
      <w:divBdr>
        <w:top w:val="none" w:sz="0" w:space="0" w:color="auto"/>
        <w:left w:val="none" w:sz="0" w:space="0" w:color="auto"/>
        <w:bottom w:val="none" w:sz="0" w:space="0" w:color="auto"/>
        <w:right w:val="none" w:sz="0" w:space="0" w:color="auto"/>
      </w:divBdr>
    </w:div>
    <w:div w:id="1197159452">
      <w:bodyDiv w:val="1"/>
      <w:marLeft w:val="0"/>
      <w:marRight w:val="0"/>
      <w:marTop w:val="0"/>
      <w:marBottom w:val="0"/>
      <w:divBdr>
        <w:top w:val="none" w:sz="0" w:space="0" w:color="auto"/>
        <w:left w:val="none" w:sz="0" w:space="0" w:color="auto"/>
        <w:bottom w:val="none" w:sz="0" w:space="0" w:color="auto"/>
        <w:right w:val="none" w:sz="0" w:space="0" w:color="auto"/>
      </w:divBdr>
    </w:div>
    <w:div w:id="1261792539">
      <w:bodyDiv w:val="1"/>
      <w:marLeft w:val="0"/>
      <w:marRight w:val="0"/>
      <w:marTop w:val="0"/>
      <w:marBottom w:val="0"/>
      <w:divBdr>
        <w:top w:val="none" w:sz="0" w:space="0" w:color="auto"/>
        <w:left w:val="none" w:sz="0" w:space="0" w:color="auto"/>
        <w:bottom w:val="none" w:sz="0" w:space="0" w:color="auto"/>
        <w:right w:val="none" w:sz="0" w:space="0" w:color="auto"/>
      </w:divBdr>
    </w:div>
    <w:div w:id="1300526472">
      <w:bodyDiv w:val="1"/>
      <w:marLeft w:val="0"/>
      <w:marRight w:val="0"/>
      <w:marTop w:val="0"/>
      <w:marBottom w:val="0"/>
      <w:divBdr>
        <w:top w:val="none" w:sz="0" w:space="0" w:color="auto"/>
        <w:left w:val="none" w:sz="0" w:space="0" w:color="auto"/>
        <w:bottom w:val="none" w:sz="0" w:space="0" w:color="auto"/>
        <w:right w:val="none" w:sz="0" w:space="0" w:color="auto"/>
      </w:divBdr>
    </w:div>
    <w:div w:id="1323041174">
      <w:bodyDiv w:val="1"/>
      <w:marLeft w:val="0"/>
      <w:marRight w:val="0"/>
      <w:marTop w:val="0"/>
      <w:marBottom w:val="0"/>
      <w:divBdr>
        <w:top w:val="none" w:sz="0" w:space="0" w:color="auto"/>
        <w:left w:val="none" w:sz="0" w:space="0" w:color="auto"/>
        <w:bottom w:val="none" w:sz="0" w:space="0" w:color="auto"/>
        <w:right w:val="none" w:sz="0" w:space="0" w:color="auto"/>
      </w:divBdr>
      <w:divsChild>
        <w:div w:id="1116943257">
          <w:marLeft w:val="547"/>
          <w:marRight w:val="0"/>
          <w:marTop w:val="0"/>
          <w:marBottom w:val="0"/>
          <w:divBdr>
            <w:top w:val="none" w:sz="0" w:space="0" w:color="auto"/>
            <w:left w:val="none" w:sz="0" w:space="0" w:color="auto"/>
            <w:bottom w:val="none" w:sz="0" w:space="0" w:color="auto"/>
            <w:right w:val="none" w:sz="0" w:space="0" w:color="auto"/>
          </w:divBdr>
        </w:div>
        <w:div w:id="1799254880">
          <w:marLeft w:val="547"/>
          <w:marRight w:val="0"/>
          <w:marTop w:val="0"/>
          <w:marBottom w:val="0"/>
          <w:divBdr>
            <w:top w:val="none" w:sz="0" w:space="0" w:color="auto"/>
            <w:left w:val="none" w:sz="0" w:space="0" w:color="auto"/>
            <w:bottom w:val="none" w:sz="0" w:space="0" w:color="auto"/>
            <w:right w:val="none" w:sz="0" w:space="0" w:color="auto"/>
          </w:divBdr>
        </w:div>
      </w:divsChild>
    </w:div>
    <w:div w:id="1353339826">
      <w:bodyDiv w:val="1"/>
      <w:marLeft w:val="0"/>
      <w:marRight w:val="0"/>
      <w:marTop w:val="0"/>
      <w:marBottom w:val="0"/>
      <w:divBdr>
        <w:top w:val="none" w:sz="0" w:space="0" w:color="auto"/>
        <w:left w:val="none" w:sz="0" w:space="0" w:color="auto"/>
        <w:bottom w:val="none" w:sz="0" w:space="0" w:color="auto"/>
        <w:right w:val="none" w:sz="0" w:space="0" w:color="auto"/>
      </w:divBdr>
    </w:div>
    <w:div w:id="1358968289">
      <w:bodyDiv w:val="1"/>
      <w:marLeft w:val="0"/>
      <w:marRight w:val="0"/>
      <w:marTop w:val="0"/>
      <w:marBottom w:val="0"/>
      <w:divBdr>
        <w:top w:val="none" w:sz="0" w:space="0" w:color="auto"/>
        <w:left w:val="none" w:sz="0" w:space="0" w:color="auto"/>
        <w:bottom w:val="none" w:sz="0" w:space="0" w:color="auto"/>
        <w:right w:val="none" w:sz="0" w:space="0" w:color="auto"/>
      </w:divBdr>
    </w:div>
    <w:div w:id="1364751091">
      <w:bodyDiv w:val="1"/>
      <w:marLeft w:val="0"/>
      <w:marRight w:val="0"/>
      <w:marTop w:val="0"/>
      <w:marBottom w:val="0"/>
      <w:divBdr>
        <w:top w:val="none" w:sz="0" w:space="0" w:color="auto"/>
        <w:left w:val="none" w:sz="0" w:space="0" w:color="auto"/>
        <w:bottom w:val="none" w:sz="0" w:space="0" w:color="auto"/>
        <w:right w:val="none" w:sz="0" w:space="0" w:color="auto"/>
      </w:divBdr>
    </w:div>
    <w:div w:id="1398359741">
      <w:bodyDiv w:val="1"/>
      <w:marLeft w:val="0"/>
      <w:marRight w:val="0"/>
      <w:marTop w:val="0"/>
      <w:marBottom w:val="0"/>
      <w:divBdr>
        <w:top w:val="none" w:sz="0" w:space="0" w:color="auto"/>
        <w:left w:val="none" w:sz="0" w:space="0" w:color="auto"/>
        <w:bottom w:val="none" w:sz="0" w:space="0" w:color="auto"/>
        <w:right w:val="none" w:sz="0" w:space="0" w:color="auto"/>
      </w:divBdr>
    </w:div>
    <w:div w:id="1412967324">
      <w:bodyDiv w:val="1"/>
      <w:marLeft w:val="0"/>
      <w:marRight w:val="0"/>
      <w:marTop w:val="0"/>
      <w:marBottom w:val="0"/>
      <w:divBdr>
        <w:top w:val="none" w:sz="0" w:space="0" w:color="auto"/>
        <w:left w:val="none" w:sz="0" w:space="0" w:color="auto"/>
        <w:bottom w:val="none" w:sz="0" w:space="0" w:color="auto"/>
        <w:right w:val="none" w:sz="0" w:space="0" w:color="auto"/>
      </w:divBdr>
    </w:div>
    <w:div w:id="1465855754">
      <w:bodyDiv w:val="1"/>
      <w:marLeft w:val="0"/>
      <w:marRight w:val="0"/>
      <w:marTop w:val="0"/>
      <w:marBottom w:val="0"/>
      <w:divBdr>
        <w:top w:val="none" w:sz="0" w:space="0" w:color="auto"/>
        <w:left w:val="none" w:sz="0" w:space="0" w:color="auto"/>
        <w:bottom w:val="none" w:sz="0" w:space="0" w:color="auto"/>
        <w:right w:val="none" w:sz="0" w:space="0" w:color="auto"/>
      </w:divBdr>
    </w:div>
    <w:div w:id="1515455385">
      <w:bodyDiv w:val="1"/>
      <w:marLeft w:val="0"/>
      <w:marRight w:val="0"/>
      <w:marTop w:val="0"/>
      <w:marBottom w:val="0"/>
      <w:divBdr>
        <w:top w:val="none" w:sz="0" w:space="0" w:color="auto"/>
        <w:left w:val="none" w:sz="0" w:space="0" w:color="auto"/>
        <w:bottom w:val="none" w:sz="0" w:space="0" w:color="auto"/>
        <w:right w:val="none" w:sz="0" w:space="0" w:color="auto"/>
      </w:divBdr>
    </w:div>
    <w:div w:id="1519542787">
      <w:bodyDiv w:val="1"/>
      <w:marLeft w:val="0"/>
      <w:marRight w:val="0"/>
      <w:marTop w:val="0"/>
      <w:marBottom w:val="0"/>
      <w:divBdr>
        <w:top w:val="none" w:sz="0" w:space="0" w:color="auto"/>
        <w:left w:val="none" w:sz="0" w:space="0" w:color="auto"/>
        <w:bottom w:val="none" w:sz="0" w:space="0" w:color="auto"/>
        <w:right w:val="none" w:sz="0" w:space="0" w:color="auto"/>
      </w:divBdr>
    </w:div>
    <w:div w:id="1555240192">
      <w:bodyDiv w:val="1"/>
      <w:marLeft w:val="0"/>
      <w:marRight w:val="0"/>
      <w:marTop w:val="0"/>
      <w:marBottom w:val="0"/>
      <w:divBdr>
        <w:top w:val="none" w:sz="0" w:space="0" w:color="auto"/>
        <w:left w:val="none" w:sz="0" w:space="0" w:color="auto"/>
        <w:bottom w:val="none" w:sz="0" w:space="0" w:color="auto"/>
        <w:right w:val="none" w:sz="0" w:space="0" w:color="auto"/>
      </w:divBdr>
      <w:divsChild>
        <w:div w:id="2100367146">
          <w:marLeft w:val="547"/>
          <w:marRight w:val="0"/>
          <w:marTop w:val="0"/>
          <w:marBottom w:val="0"/>
          <w:divBdr>
            <w:top w:val="none" w:sz="0" w:space="0" w:color="auto"/>
            <w:left w:val="none" w:sz="0" w:space="0" w:color="auto"/>
            <w:bottom w:val="none" w:sz="0" w:space="0" w:color="auto"/>
            <w:right w:val="none" w:sz="0" w:space="0" w:color="auto"/>
          </w:divBdr>
        </w:div>
      </w:divsChild>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 w:id="1643655832">
      <w:bodyDiv w:val="1"/>
      <w:marLeft w:val="0"/>
      <w:marRight w:val="0"/>
      <w:marTop w:val="0"/>
      <w:marBottom w:val="0"/>
      <w:divBdr>
        <w:top w:val="none" w:sz="0" w:space="0" w:color="auto"/>
        <w:left w:val="none" w:sz="0" w:space="0" w:color="auto"/>
        <w:bottom w:val="none" w:sz="0" w:space="0" w:color="auto"/>
        <w:right w:val="none" w:sz="0" w:space="0" w:color="auto"/>
      </w:divBdr>
    </w:div>
    <w:div w:id="1674608187">
      <w:bodyDiv w:val="1"/>
      <w:marLeft w:val="0"/>
      <w:marRight w:val="0"/>
      <w:marTop w:val="0"/>
      <w:marBottom w:val="0"/>
      <w:divBdr>
        <w:top w:val="none" w:sz="0" w:space="0" w:color="auto"/>
        <w:left w:val="none" w:sz="0" w:space="0" w:color="auto"/>
        <w:bottom w:val="none" w:sz="0" w:space="0" w:color="auto"/>
        <w:right w:val="none" w:sz="0" w:space="0" w:color="auto"/>
      </w:divBdr>
    </w:div>
    <w:div w:id="1720205122">
      <w:bodyDiv w:val="1"/>
      <w:marLeft w:val="0"/>
      <w:marRight w:val="0"/>
      <w:marTop w:val="0"/>
      <w:marBottom w:val="0"/>
      <w:divBdr>
        <w:top w:val="none" w:sz="0" w:space="0" w:color="auto"/>
        <w:left w:val="none" w:sz="0" w:space="0" w:color="auto"/>
        <w:bottom w:val="none" w:sz="0" w:space="0" w:color="auto"/>
        <w:right w:val="none" w:sz="0" w:space="0" w:color="auto"/>
      </w:divBdr>
    </w:div>
    <w:div w:id="1720859254">
      <w:bodyDiv w:val="1"/>
      <w:marLeft w:val="0"/>
      <w:marRight w:val="0"/>
      <w:marTop w:val="0"/>
      <w:marBottom w:val="0"/>
      <w:divBdr>
        <w:top w:val="none" w:sz="0" w:space="0" w:color="auto"/>
        <w:left w:val="none" w:sz="0" w:space="0" w:color="auto"/>
        <w:bottom w:val="none" w:sz="0" w:space="0" w:color="auto"/>
        <w:right w:val="none" w:sz="0" w:space="0" w:color="auto"/>
      </w:divBdr>
    </w:div>
    <w:div w:id="1782189316">
      <w:bodyDiv w:val="1"/>
      <w:marLeft w:val="0"/>
      <w:marRight w:val="0"/>
      <w:marTop w:val="0"/>
      <w:marBottom w:val="0"/>
      <w:divBdr>
        <w:top w:val="none" w:sz="0" w:space="0" w:color="auto"/>
        <w:left w:val="none" w:sz="0" w:space="0" w:color="auto"/>
        <w:bottom w:val="none" w:sz="0" w:space="0" w:color="auto"/>
        <w:right w:val="none" w:sz="0" w:space="0" w:color="auto"/>
      </w:divBdr>
    </w:div>
    <w:div w:id="1800031749">
      <w:bodyDiv w:val="1"/>
      <w:marLeft w:val="0"/>
      <w:marRight w:val="0"/>
      <w:marTop w:val="0"/>
      <w:marBottom w:val="0"/>
      <w:divBdr>
        <w:top w:val="none" w:sz="0" w:space="0" w:color="auto"/>
        <w:left w:val="none" w:sz="0" w:space="0" w:color="auto"/>
        <w:bottom w:val="none" w:sz="0" w:space="0" w:color="auto"/>
        <w:right w:val="none" w:sz="0" w:space="0" w:color="auto"/>
      </w:divBdr>
    </w:div>
    <w:div w:id="1822624493">
      <w:bodyDiv w:val="1"/>
      <w:marLeft w:val="0"/>
      <w:marRight w:val="0"/>
      <w:marTop w:val="0"/>
      <w:marBottom w:val="0"/>
      <w:divBdr>
        <w:top w:val="none" w:sz="0" w:space="0" w:color="auto"/>
        <w:left w:val="none" w:sz="0" w:space="0" w:color="auto"/>
        <w:bottom w:val="none" w:sz="0" w:space="0" w:color="auto"/>
        <w:right w:val="none" w:sz="0" w:space="0" w:color="auto"/>
      </w:divBdr>
      <w:divsChild>
        <w:div w:id="728264681">
          <w:marLeft w:val="547"/>
          <w:marRight w:val="0"/>
          <w:marTop w:val="0"/>
          <w:marBottom w:val="0"/>
          <w:divBdr>
            <w:top w:val="none" w:sz="0" w:space="0" w:color="auto"/>
            <w:left w:val="none" w:sz="0" w:space="0" w:color="auto"/>
            <w:bottom w:val="none" w:sz="0" w:space="0" w:color="auto"/>
            <w:right w:val="none" w:sz="0" w:space="0" w:color="auto"/>
          </w:divBdr>
        </w:div>
      </w:divsChild>
    </w:div>
    <w:div w:id="1868056101">
      <w:bodyDiv w:val="1"/>
      <w:marLeft w:val="0"/>
      <w:marRight w:val="0"/>
      <w:marTop w:val="0"/>
      <w:marBottom w:val="0"/>
      <w:divBdr>
        <w:top w:val="none" w:sz="0" w:space="0" w:color="auto"/>
        <w:left w:val="none" w:sz="0" w:space="0" w:color="auto"/>
        <w:bottom w:val="none" w:sz="0" w:space="0" w:color="auto"/>
        <w:right w:val="none" w:sz="0" w:space="0" w:color="auto"/>
      </w:divBdr>
    </w:div>
    <w:div w:id="1875650518">
      <w:bodyDiv w:val="1"/>
      <w:marLeft w:val="0"/>
      <w:marRight w:val="0"/>
      <w:marTop w:val="0"/>
      <w:marBottom w:val="0"/>
      <w:divBdr>
        <w:top w:val="none" w:sz="0" w:space="0" w:color="auto"/>
        <w:left w:val="none" w:sz="0" w:space="0" w:color="auto"/>
        <w:bottom w:val="none" w:sz="0" w:space="0" w:color="auto"/>
        <w:right w:val="none" w:sz="0" w:space="0" w:color="auto"/>
      </w:divBdr>
    </w:div>
    <w:div w:id="1974944070">
      <w:bodyDiv w:val="1"/>
      <w:marLeft w:val="0"/>
      <w:marRight w:val="0"/>
      <w:marTop w:val="0"/>
      <w:marBottom w:val="0"/>
      <w:divBdr>
        <w:top w:val="none" w:sz="0" w:space="0" w:color="auto"/>
        <w:left w:val="none" w:sz="0" w:space="0" w:color="auto"/>
        <w:bottom w:val="none" w:sz="0" w:space="0" w:color="auto"/>
        <w:right w:val="none" w:sz="0" w:space="0" w:color="auto"/>
      </w:divBdr>
    </w:div>
    <w:div w:id="1988244472">
      <w:bodyDiv w:val="1"/>
      <w:marLeft w:val="0"/>
      <w:marRight w:val="0"/>
      <w:marTop w:val="0"/>
      <w:marBottom w:val="0"/>
      <w:divBdr>
        <w:top w:val="none" w:sz="0" w:space="0" w:color="auto"/>
        <w:left w:val="none" w:sz="0" w:space="0" w:color="auto"/>
        <w:bottom w:val="none" w:sz="0" w:space="0" w:color="auto"/>
        <w:right w:val="none" w:sz="0" w:space="0" w:color="auto"/>
      </w:divBdr>
    </w:div>
    <w:div w:id="2077973041">
      <w:bodyDiv w:val="1"/>
      <w:marLeft w:val="0"/>
      <w:marRight w:val="0"/>
      <w:marTop w:val="0"/>
      <w:marBottom w:val="0"/>
      <w:divBdr>
        <w:top w:val="none" w:sz="0" w:space="0" w:color="auto"/>
        <w:left w:val="none" w:sz="0" w:space="0" w:color="auto"/>
        <w:bottom w:val="none" w:sz="0" w:space="0" w:color="auto"/>
        <w:right w:val="none" w:sz="0" w:space="0" w:color="auto"/>
      </w:divBdr>
    </w:div>
    <w:div w:id="214099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ricsson.sharepoint.com/sites/star/Shared%20Documents/Team%20areas/Unlicensed%20area/NR-U/3GPP/2019-11%20Meeting/RAN1%20drafts/R1-19xxxxx%20Enhancements%20to%20initial%20access%20procedure.docx"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sites/star/Shared%20Documents/Team%20areas/Unlicensed%20area/NR-U/3GPP/2019-11%20Meeting/RAN1%20drafts/R1-19xxxxx%20Enhancements%20to%20initial%20access%20procedure.docx"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oleObject" Target="embeddings/oleObject10.bin"/><Relationship Id="rId36"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C3D22-E394-4E5A-A39B-390ACA994857}">
  <ds:schemaRefs>
    <ds:schemaRef ds:uri="http://schemas.microsoft.com/sharepoint/v3/contenttype/forms"/>
  </ds:schemaRefs>
</ds:datastoreItem>
</file>

<file path=customXml/itemProps2.xml><?xml version="1.0" encoding="utf-8"?>
<ds:datastoreItem xmlns:ds="http://schemas.openxmlformats.org/officeDocument/2006/customXml" ds:itemID="{50211EFE-C12A-473B-B023-817B1778D67B}">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24879AB6-91E0-4944-B18E-F3E2DF606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8A81EE-05E0-4F29-AFE7-ED36F3A5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10953</Words>
  <Characters>62438</Characters>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73245</CharactersWithSpaces>
  <SharedDoc>false</SharedDoc>
  <HLinks>
    <vt:vector size="186" baseType="variant">
      <vt:variant>
        <vt:i4>1966140</vt:i4>
      </vt:variant>
      <vt:variant>
        <vt:i4>200</vt:i4>
      </vt:variant>
      <vt:variant>
        <vt:i4>0</vt:i4>
      </vt:variant>
      <vt:variant>
        <vt:i4>5</vt:i4>
      </vt:variant>
      <vt:variant>
        <vt:lpwstr/>
      </vt:variant>
      <vt:variant>
        <vt:lpwstr>_Toc20993141</vt:lpwstr>
      </vt:variant>
      <vt:variant>
        <vt:i4>2031676</vt:i4>
      </vt:variant>
      <vt:variant>
        <vt:i4>197</vt:i4>
      </vt:variant>
      <vt:variant>
        <vt:i4>0</vt:i4>
      </vt:variant>
      <vt:variant>
        <vt:i4>5</vt:i4>
      </vt:variant>
      <vt:variant>
        <vt:lpwstr/>
      </vt:variant>
      <vt:variant>
        <vt:lpwstr>_Toc20993140</vt:lpwstr>
      </vt:variant>
      <vt:variant>
        <vt:i4>1441851</vt:i4>
      </vt:variant>
      <vt:variant>
        <vt:i4>194</vt:i4>
      </vt:variant>
      <vt:variant>
        <vt:i4>0</vt:i4>
      </vt:variant>
      <vt:variant>
        <vt:i4>5</vt:i4>
      </vt:variant>
      <vt:variant>
        <vt:lpwstr/>
      </vt:variant>
      <vt:variant>
        <vt:lpwstr>_Toc20993139</vt:lpwstr>
      </vt:variant>
      <vt:variant>
        <vt:i4>1507387</vt:i4>
      </vt:variant>
      <vt:variant>
        <vt:i4>191</vt:i4>
      </vt:variant>
      <vt:variant>
        <vt:i4>0</vt:i4>
      </vt:variant>
      <vt:variant>
        <vt:i4>5</vt:i4>
      </vt:variant>
      <vt:variant>
        <vt:lpwstr/>
      </vt:variant>
      <vt:variant>
        <vt:lpwstr>_Toc20993138</vt:lpwstr>
      </vt:variant>
      <vt:variant>
        <vt:i4>1572923</vt:i4>
      </vt:variant>
      <vt:variant>
        <vt:i4>188</vt:i4>
      </vt:variant>
      <vt:variant>
        <vt:i4>0</vt:i4>
      </vt:variant>
      <vt:variant>
        <vt:i4>5</vt:i4>
      </vt:variant>
      <vt:variant>
        <vt:lpwstr/>
      </vt:variant>
      <vt:variant>
        <vt:lpwstr>_Toc20993137</vt:lpwstr>
      </vt:variant>
      <vt:variant>
        <vt:i4>1638459</vt:i4>
      </vt:variant>
      <vt:variant>
        <vt:i4>185</vt:i4>
      </vt:variant>
      <vt:variant>
        <vt:i4>0</vt:i4>
      </vt:variant>
      <vt:variant>
        <vt:i4>5</vt:i4>
      </vt:variant>
      <vt:variant>
        <vt:lpwstr/>
      </vt:variant>
      <vt:variant>
        <vt:lpwstr>_Toc20993136</vt:lpwstr>
      </vt:variant>
      <vt:variant>
        <vt:i4>1703995</vt:i4>
      </vt:variant>
      <vt:variant>
        <vt:i4>182</vt:i4>
      </vt:variant>
      <vt:variant>
        <vt:i4>0</vt:i4>
      </vt:variant>
      <vt:variant>
        <vt:i4>5</vt:i4>
      </vt:variant>
      <vt:variant>
        <vt:lpwstr/>
      </vt:variant>
      <vt:variant>
        <vt:lpwstr>_Toc20993135</vt:lpwstr>
      </vt:variant>
      <vt:variant>
        <vt:i4>1769531</vt:i4>
      </vt:variant>
      <vt:variant>
        <vt:i4>179</vt:i4>
      </vt:variant>
      <vt:variant>
        <vt:i4>0</vt:i4>
      </vt:variant>
      <vt:variant>
        <vt:i4>5</vt:i4>
      </vt:variant>
      <vt:variant>
        <vt:lpwstr/>
      </vt:variant>
      <vt:variant>
        <vt:lpwstr>_Toc20993134</vt:lpwstr>
      </vt:variant>
      <vt:variant>
        <vt:i4>1835067</vt:i4>
      </vt:variant>
      <vt:variant>
        <vt:i4>176</vt:i4>
      </vt:variant>
      <vt:variant>
        <vt:i4>0</vt:i4>
      </vt:variant>
      <vt:variant>
        <vt:i4>5</vt:i4>
      </vt:variant>
      <vt:variant>
        <vt:lpwstr/>
      </vt:variant>
      <vt:variant>
        <vt:lpwstr>_Toc20993133</vt:lpwstr>
      </vt:variant>
      <vt:variant>
        <vt:i4>1900603</vt:i4>
      </vt:variant>
      <vt:variant>
        <vt:i4>173</vt:i4>
      </vt:variant>
      <vt:variant>
        <vt:i4>0</vt:i4>
      </vt:variant>
      <vt:variant>
        <vt:i4>5</vt:i4>
      </vt:variant>
      <vt:variant>
        <vt:lpwstr/>
      </vt:variant>
      <vt:variant>
        <vt:lpwstr>_Toc20993132</vt:lpwstr>
      </vt:variant>
      <vt:variant>
        <vt:i4>1966139</vt:i4>
      </vt:variant>
      <vt:variant>
        <vt:i4>170</vt:i4>
      </vt:variant>
      <vt:variant>
        <vt:i4>0</vt:i4>
      </vt:variant>
      <vt:variant>
        <vt:i4>5</vt:i4>
      </vt:variant>
      <vt:variant>
        <vt:lpwstr/>
      </vt:variant>
      <vt:variant>
        <vt:lpwstr>_Toc20993131</vt:lpwstr>
      </vt:variant>
      <vt:variant>
        <vt:i4>2031675</vt:i4>
      </vt:variant>
      <vt:variant>
        <vt:i4>167</vt:i4>
      </vt:variant>
      <vt:variant>
        <vt:i4>0</vt:i4>
      </vt:variant>
      <vt:variant>
        <vt:i4>5</vt:i4>
      </vt:variant>
      <vt:variant>
        <vt:lpwstr/>
      </vt:variant>
      <vt:variant>
        <vt:lpwstr>_Toc20993130</vt:lpwstr>
      </vt:variant>
      <vt:variant>
        <vt:i4>1441850</vt:i4>
      </vt:variant>
      <vt:variant>
        <vt:i4>164</vt:i4>
      </vt:variant>
      <vt:variant>
        <vt:i4>0</vt:i4>
      </vt:variant>
      <vt:variant>
        <vt:i4>5</vt:i4>
      </vt:variant>
      <vt:variant>
        <vt:lpwstr/>
      </vt:variant>
      <vt:variant>
        <vt:lpwstr>_Toc20993129</vt:lpwstr>
      </vt:variant>
      <vt:variant>
        <vt:i4>1507386</vt:i4>
      </vt:variant>
      <vt:variant>
        <vt:i4>161</vt:i4>
      </vt:variant>
      <vt:variant>
        <vt:i4>0</vt:i4>
      </vt:variant>
      <vt:variant>
        <vt:i4>5</vt:i4>
      </vt:variant>
      <vt:variant>
        <vt:lpwstr/>
      </vt:variant>
      <vt:variant>
        <vt:lpwstr>_Toc20993128</vt:lpwstr>
      </vt:variant>
      <vt:variant>
        <vt:i4>1572922</vt:i4>
      </vt:variant>
      <vt:variant>
        <vt:i4>158</vt:i4>
      </vt:variant>
      <vt:variant>
        <vt:i4>0</vt:i4>
      </vt:variant>
      <vt:variant>
        <vt:i4>5</vt:i4>
      </vt:variant>
      <vt:variant>
        <vt:lpwstr/>
      </vt:variant>
      <vt:variant>
        <vt:lpwstr>_Toc20993127</vt:lpwstr>
      </vt:variant>
      <vt:variant>
        <vt:i4>1638458</vt:i4>
      </vt:variant>
      <vt:variant>
        <vt:i4>155</vt:i4>
      </vt:variant>
      <vt:variant>
        <vt:i4>0</vt:i4>
      </vt:variant>
      <vt:variant>
        <vt:i4>5</vt:i4>
      </vt:variant>
      <vt:variant>
        <vt:lpwstr/>
      </vt:variant>
      <vt:variant>
        <vt:lpwstr>_Toc20993126</vt:lpwstr>
      </vt:variant>
      <vt:variant>
        <vt:i4>1703994</vt:i4>
      </vt:variant>
      <vt:variant>
        <vt:i4>152</vt:i4>
      </vt:variant>
      <vt:variant>
        <vt:i4>0</vt:i4>
      </vt:variant>
      <vt:variant>
        <vt:i4>5</vt:i4>
      </vt:variant>
      <vt:variant>
        <vt:lpwstr/>
      </vt:variant>
      <vt:variant>
        <vt:lpwstr>_Toc20993125</vt:lpwstr>
      </vt:variant>
      <vt:variant>
        <vt:i4>1769530</vt:i4>
      </vt:variant>
      <vt:variant>
        <vt:i4>149</vt:i4>
      </vt:variant>
      <vt:variant>
        <vt:i4>0</vt:i4>
      </vt:variant>
      <vt:variant>
        <vt:i4>5</vt:i4>
      </vt:variant>
      <vt:variant>
        <vt:lpwstr/>
      </vt:variant>
      <vt:variant>
        <vt:lpwstr>_Toc20993124</vt:lpwstr>
      </vt:variant>
      <vt:variant>
        <vt:i4>1835066</vt:i4>
      </vt:variant>
      <vt:variant>
        <vt:i4>146</vt:i4>
      </vt:variant>
      <vt:variant>
        <vt:i4>0</vt:i4>
      </vt:variant>
      <vt:variant>
        <vt:i4>5</vt:i4>
      </vt:variant>
      <vt:variant>
        <vt:lpwstr/>
      </vt:variant>
      <vt:variant>
        <vt:lpwstr>_Toc20993123</vt:lpwstr>
      </vt:variant>
      <vt:variant>
        <vt:i4>1900602</vt:i4>
      </vt:variant>
      <vt:variant>
        <vt:i4>143</vt:i4>
      </vt:variant>
      <vt:variant>
        <vt:i4>0</vt:i4>
      </vt:variant>
      <vt:variant>
        <vt:i4>5</vt:i4>
      </vt:variant>
      <vt:variant>
        <vt:lpwstr/>
      </vt:variant>
      <vt:variant>
        <vt:lpwstr>_Toc20993122</vt:lpwstr>
      </vt:variant>
      <vt:variant>
        <vt:i4>1966138</vt:i4>
      </vt:variant>
      <vt:variant>
        <vt:i4>137</vt:i4>
      </vt:variant>
      <vt:variant>
        <vt:i4>0</vt:i4>
      </vt:variant>
      <vt:variant>
        <vt:i4>5</vt:i4>
      </vt:variant>
      <vt:variant>
        <vt:lpwstr/>
      </vt:variant>
      <vt:variant>
        <vt:lpwstr>_Toc20993121</vt:lpwstr>
      </vt:variant>
      <vt:variant>
        <vt:i4>2031674</vt:i4>
      </vt:variant>
      <vt:variant>
        <vt:i4>134</vt:i4>
      </vt:variant>
      <vt:variant>
        <vt:i4>0</vt:i4>
      </vt:variant>
      <vt:variant>
        <vt:i4>5</vt:i4>
      </vt:variant>
      <vt:variant>
        <vt:lpwstr/>
      </vt:variant>
      <vt:variant>
        <vt:lpwstr>_Toc20993120</vt:lpwstr>
      </vt:variant>
      <vt:variant>
        <vt:i4>1441849</vt:i4>
      </vt:variant>
      <vt:variant>
        <vt:i4>131</vt:i4>
      </vt:variant>
      <vt:variant>
        <vt:i4>0</vt:i4>
      </vt:variant>
      <vt:variant>
        <vt:i4>5</vt:i4>
      </vt:variant>
      <vt:variant>
        <vt:lpwstr/>
      </vt:variant>
      <vt:variant>
        <vt:lpwstr>_Toc20993119</vt:lpwstr>
      </vt:variant>
      <vt:variant>
        <vt:i4>1507385</vt:i4>
      </vt:variant>
      <vt:variant>
        <vt:i4>128</vt:i4>
      </vt:variant>
      <vt:variant>
        <vt:i4>0</vt:i4>
      </vt:variant>
      <vt:variant>
        <vt:i4>5</vt:i4>
      </vt:variant>
      <vt:variant>
        <vt:lpwstr/>
      </vt:variant>
      <vt:variant>
        <vt:lpwstr>_Toc20993118</vt:lpwstr>
      </vt:variant>
      <vt:variant>
        <vt:i4>1572921</vt:i4>
      </vt:variant>
      <vt:variant>
        <vt:i4>125</vt:i4>
      </vt:variant>
      <vt:variant>
        <vt:i4>0</vt:i4>
      </vt:variant>
      <vt:variant>
        <vt:i4>5</vt:i4>
      </vt:variant>
      <vt:variant>
        <vt:lpwstr/>
      </vt:variant>
      <vt:variant>
        <vt:lpwstr>_Toc20993117</vt:lpwstr>
      </vt:variant>
      <vt:variant>
        <vt:i4>1638457</vt:i4>
      </vt:variant>
      <vt:variant>
        <vt:i4>122</vt:i4>
      </vt:variant>
      <vt:variant>
        <vt:i4>0</vt:i4>
      </vt:variant>
      <vt:variant>
        <vt:i4>5</vt:i4>
      </vt:variant>
      <vt:variant>
        <vt:lpwstr/>
      </vt:variant>
      <vt:variant>
        <vt:lpwstr>_Toc20993116</vt:lpwstr>
      </vt:variant>
      <vt:variant>
        <vt:i4>1703993</vt:i4>
      </vt:variant>
      <vt:variant>
        <vt:i4>119</vt:i4>
      </vt:variant>
      <vt:variant>
        <vt:i4>0</vt:i4>
      </vt:variant>
      <vt:variant>
        <vt:i4>5</vt:i4>
      </vt:variant>
      <vt:variant>
        <vt:lpwstr/>
      </vt:variant>
      <vt:variant>
        <vt:lpwstr>_Toc20993115</vt:lpwstr>
      </vt:variant>
      <vt:variant>
        <vt:i4>1769529</vt:i4>
      </vt:variant>
      <vt:variant>
        <vt:i4>116</vt:i4>
      </vt:variant>
      <vt:variant>
        <vt:i4>0</vt:i4>
      </vt:variant>
      <vt:variant>
        <vt:i4>5</vt:i4>
      </vt:variant>
      <vt:variant>
        <vt:lpwstr/>
      </vt:variant>
      <vt:variant>
        <vt:lpwstr>_Toc20993114</vt:lpwstr>
      </vt:variant>
      <vt:variant>
        <vt:i4>1835065</vt:i4>
      </vt:variant>
      <vt:variant>
        <vt:i4>113</vt:i4>
      </vt:variant>
      <vt:variant>
        <vt:i4>0</vt:i4>
      </vt:variant>
      <vt:variant>
        <vt:i4>5</vt:i4>
      </vt:variant>
      <vt:variant>
        <vt:lpwstr/>
      </vt:variant>
      <vt:variant>
        <vt:lpwstr>_Toc20993113</vt:lpwstr>
      </vt:variant>
      <vt:variant>
        <vt:i4>1900601</vt:i4>
      </vt:variant>
      <vt:variant>
        <vt:i4>110</vt:i4>
      </vt:variant>
      <vt:variant>
        <vt:i4>0</vt:i4>
      </vt:variant>
      <vt:variant>
        <vt:i4>5</vt:i4>
      </vt:variant>
      <vt:variant>
        <vt:lpwstr/>
      </vt:variant>
      <vt:variant>
        <vt:lpwstr>_Toc20993112</vt:lpwstr>
      </vt:variant>
      <vt:variant>
        <vt:i4>1966137</vt:i4>
      </vt:variant>
      <vt:variant>
        <vt:i4>107</vt:i4>
      </vt:variant>
      <vt:variant>
        <vt:i4>0</vt:i4>
      </vt:variant>
      <vt:variant>
        <vt:i4>5</vt:i4>
      </vt:variant>
      <vt:variant>
        <vt:lpwstr/>
      </vt:variant>
      <vt:variant>
        <vt:lpwstr>_Toc20993111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2019-11-08T19:33:00Z</dcterms:created>
  <dcterms:modified xsi:type="dcterms:W3CDTF">2019-11-08T19:46:00Z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b70049a9-a016-4128-a367-0c71724c7eb5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0">
    <vt:lpwstr>358</vt:lpwstr>
  </property>
  <property fmtid="{D5CDD505-2E9C-101B-9397-08002B2CF9AE}" pid="14" name="EriCOLLProjectsTaxHTField0">
    <vt:lpwstr/>
  </property>
  <property fmtid="{D5CDD505-2E9C-101B-9397-08002B2CF9AE}" pid="15" name="AuthorIds_UIVersion_3072">
    <vt:lpwstr>249</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Order">
    <vt:r8>3190500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dlc_DocId">
    <vt:lpwstr>5NUHHDQN7SK2-1476151046-112535</vt:lpwstr>
  </property>
  <property fmtid="{D5CDD505-2E9C-101B-9397-08002B2CF9AE}" pid="29" name="_dlc_DocIdUrl">
    <vt:lpwstr>https://ericsson.sharepoint.com/sites/star/_layouts/15/DocIdRedir.aspx?ID=5NUHHDQN7SK2-1476151046-112535, 5NUHHDQN7SK2-1476151046-112535</vt:lpwstr>
  </property>
</Properties>
</file>